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40839">
      <w:pPr>
        <w:pStyle w:val="14"/>
        <w:ind w:left="554"/>
      </w:pPr>
      <w:bookmarkStart w:id="0" w:name="_Hlk202707869"/>
      <w:bookmarkEnd w:id="0"/>
      <w:r>
        <w:rPr>
          <w:lang w:val="en-MY" w:eastAsia="en-MY"/>
        </w:rPr>
        <mc:AlternateContent>
          <mc:Choice Requires="wpg">
            <w:drawing>
              <wp:anchor distT="0" distB="0" distL="114300" distR="114300" simplePos="0" relativeHeight="251660288" behindDoc="0" locked="0" layoutInCell="1" allowOverlap="1">
                <wp:simplePos x="0" y="0"/>
                <wp:positionH relativeFrom="column">
                  <wp:posOffset>489585</wp:posOffset>
                </wp:positionH>
                <wp:positionV relativeFrom="paragraph">
                  <wp:posOffset>114300</wp:posOffset>
                </wp:positionV>
                <wp:extent cx="6299835" cy="1043940"/>
                <wp:effectExtent l="635" t="6350" r="5080" b="6985"/>
                <wp:wrapNone/>
                <wp:docPr id="916941878" name="Group 4"/>
                <wp:cNvGraphicFramePr/>
                <a:graphic xmlns:a="http://schemas.openxmlformats.org/drawingml/2006/main">
                  <a:graphicData uri="http://schemas.microsoft.com/office/word/2010/wordprocessingGroup">
                    <wpg:wgp>
                      <wpg:cNvGrpSpPr/>
                      <wpg:grpSpPr>
                        <a:xfrm>
                          <a:off x="0" y="0"/>
                          <a:ext cx="6299835" cy="1043940"/>
                          <a:chOff x="1291" y="700"/>
                          <a:chExt cx="9921" cy="1644"/>
                        </a:xfrm>
                      </wpg:grpSpPr>
                      <wpg:grpSp>
                        <wpg:cNvPr id="98749356" name="Group 7"/>
                        <wpg:cNvGrpSpPr/>
                        <wpg:grpSpPr>
                          <a:xfrm>
                            <a:off x="1291" y="700"/>
                            <a:ext cx="9921" cy="1644"/>
                            <a:chOff x="1123" y="2500"/>
                            <a:chExt cx="9921" cy="1644"/>
                          </a:xfrm>
                        </wpg:grpSpPr>
                        <wpg:grpSp>
                          <wpg:cNvPr id="700987581" name="Group 8"/>
                          <wpg:cNvGrpSpPr/>
                          <wpg:grpSpPr>
                            <a:xfrm>
                              <a:off x="1123" y="2500"/>
                              <a:ext cx="9921" cy="1644"/>
                              <a:chOff x="0" y="0"/>
                              <a:chExt cx="9921" cy="1561"/>
                            </a:xfrm>
                          </wpg:grpSpPr>
                          <wps:wsp>
                            <wps:cNvPr id="1379490217" name="Freeform 9"/>
                            <wps:cNvSpPr/>
                            <wps:spPr bwMode="auto">
                              <a:xfrm>
                                <a:off x="10" y="10"/>
                                <a:ext cx="9901" cy="1541"/>
                              </a:xfrm>
                              <a:custGeom>
                                <a:avLst/>
                                <a:gdLst>
                                  <a:gd name="T0" fmla="+- 0 491 10"/>
                                  <a:gd name="T1" fmla="*/ T0 w 9901"/>
                                  <a:gd name="T2" fmla="+- 0 47 10"/>
                                  <a:gd name="T3" fmla="*/ 47 h 1541"/>
                                  <a:gd name="T4" fmla="+- 0 853 10"/>
                                  <a:gd name="T5" fmla="*/ T4 w 9901"/>
                                  <a:gd name="T6" fmla="+- 0 28 10"/>
                                  <a:gd name="T7" fmla="*/ 28 h 1541"/>
                                  <a:gd name="T8" fmla="+- 0 1165 10"/>
                                  <a:gd name="T9" fmla="*/ T8 w 9901"/>
                                  <a:gd name="T10" fmla="+- 0 17 10"/>
                                  <a:gd name="T11" fmla="*/ 17 h 1541"/>
                                  <a:gd name="T12" fmla="+- 0 1486 10"/>
                                  <a:gd name="T13" fmla="*/ T12 w 9901"/>
                                  <a:gd name="T14" fmla="+- 0 11 10"/>
                                  <a:gd name="T15" fmla="*/ 11 h 1541"/>
                                  <a:gd name="T16" fmla="+- 0 1815 10"/>
                                  <a:gd name="T17" fmla="*/ T16 w 9901"/>
                                  <a:gd name="T18" fmla="+- 0 10 10"/>
                                  <a:gd name="T19" fmla="*/ 10 h 1541"/>
                                  <a:gd name="T20" fmla="+- 0 2154 10"/>
                                  <a:gd name="T21" fmla="*/ T20 w 9901"/>
                                  <a:gd name="T22" fmla="+- 0 12 10"/>
                                  <a:gd name="T23" fmla="*/ 12 h 1541"/>
                                  <a:gd name="T24" fmla="+- 0 2502 10"/>
                                  <a:gd name="T25" fmla="*/ T24 w 9901"/>
                                  <a:gd name="T26" fmla="+- 0 18 10"/>
                                  <a:gd name="T27" fmla="*/ 18 h 1541"/>
                                  <a:gd name="T28" fmla="+- 0 2859 10"/>
                                  <a:gd name="T29" fmla="*/ T28 w 9901"/>
                                  <a:gd name="T30" fmla="+- 0 26 10"/>
                                  <a:gd name="T31" fmla="*/ 26 h 1541"/>
                                  <a:gd name="T32" fmla="+- 0 3225 10"/>
                                  <a:gd name="T33" fmla="*/ T32 w 9901"/>
                                  <a:gd name="T34" fmla="+- 0 36 10"/>
                                  <a:gd name="T35" fmla="*/ 36 h 1541"/>
                                  <a:gd name="T36" fmla="+- 0 3601 10"/>
                                  <a:gd name="T37" fmla="*/ T36 w 9901"/>
                                  <a:gd name="T38" fmla="+- 0 48 10"/>
                                  <a:gd name="T39" fmla="*/ 48 h 1541"/>
                                  <a:gd name="T40" fmla="+- 0 3986 10"/>
                                  <a:gd name="T41" fmla="*/ T40 w 9901"/>
                                  <a:gd name="T42" fmla="+- 0 61 10"/>
                                  <a:gd name="T43" fmla="*/ 61 h 1541"/>
                                  <a:gd name="T44" fmla="+- 0 4380 10"/>
                                  <a:gd name="T45" fmla="*/ T44 w 9901"/>
                                  <a:gd name="T46" fmla="+- 0 74 10"/>
                                  <a:gd name="T47" fmla="*/ 74 h 1541"/>
                                  <a:gd name="T48" fmla="+- 0 4785 10"/>
                                  <a:gd name="T49" fmla="*/ T48 w 9901"/>
                                  <a:gd name="T50" fmla="+- 0 87 10"/>
                                  <a:gd name="T51" fmla="*/ 87 h 1541"/>
                                  <a:gd name="T52" fmla="+- 0 5198 10"/>
                                  <a:gd name="T53" fmla="*/ T52 w 9901"/>
                                  <a:gd name="T54" fmla="+- 0 100 10"/>
                                  <a:gd name="T55" fmla="*/ 100 h 1541"/>
                                  <a:gd name="T56" fmla="+- 0 5622 10"/>
                                  <a:gd name="T57" fmla="*/ T56 w 9901"/>
                                  <a:gd name="T58" fmla="+- 0 112 10"/>
                                  <a:gd name="T59" fmla="*/ 112 h 1541"/>
                                  <a:gd name="T60" fmla="+- 0 6055 10"/>
                                  <a:gd name="T61" fmla="*/ T60 w 9901"/>
                                  <a:gd name="T62" fmla="+- 0 123 10"/>
                                  <a:gd name="T63" fmla="*/ 123 h 1541"/>
                                  <a:gd name="T64" fmla="+- 0 6498 10"/>
                                  <a:gd name="T65" fmla="*/ T64 w 9901"/>
                                  <a:gd name="T66" fmla="+- 0 131 10"/>
                                  <a:gd name="T67" fmla="*/ 131 h 1541"/>
                                  <a:gd name="T68" fmla="+- 0 6951 10"/>
                                  <a:gd name="T69" fmla="*/ T68 w 9901"/>
                                  <a:gd name="T70" fmla="+- 0 137 10"/>
                                  <a:gd name="T71" fmla="*/ 137 h 1541"/>
                                  <a:gd name="T72" fmla="+- 0 7414 10"/>
                                  <a:gd name="T73" fmla="*/ T72 w 9901"/>
                                  <a:gd name="T74" fmla="+- 0 139 10"/>
                                  <a:gd name="T75" fmla="*/ 139 h 1541"/>
                                  <a:gd name="T76" fmla="+- 0 7887 10"/>
                                  <a:gd name="T77" fmla="*/ T76 w 9901"/>
                                  <a:gd name="T78" fmla="+- 0 138 10"/>
                                  <a:gd name="T79" fmla="*/ 138 h 1541"/>
                                  <a:gd name="T80" fmla="+- 0 8370 10"/>
                                  <a:gd name="T81" fmla="*/ T80 w 9901"/>
                                  <a:gd name="T82" fmla="+- 0 133 10"/>
                                  <a:gd name="T83" fmla="*/ 133 h 1541"/>
                                  <a:gd name="T84" fmla="+- 0 8863 10"/>
                                  <a:gd name="T85" fmla="*/ T84 w 9901"/>
                                  <a:gd name="T86" fmla="+- 0 123 10"/>
                                  <a:gd name="T87" fmla="*/ 123 h 1541"/>
                                  <a:gd name="T88" fmla="+- 0 9367 10"/>
                                  <a:gd name="T89" fmla="*/ T88 w 9901"/>
                                  <a:gd name="T90" fmla="+- 0 108 10"/>
                                  <a:gd name="T91" fmla="*/ 108 h 1541"/>
                                  <a:gd name="T92" fmla="+- 0 9881 10"/>
                                  <a:gd name="T93" fmla="*/ T92 w 9901"/>
                                  <a:gd name="T94" fmla="+- 0 87 10"/>
                                  <a:gd name="T95" fmla="*/ 87 h 1541"/>
                                  <a:gd name="T96" fmla="+- 0 9889 10"/>
                                  <a:gd name="T97" fmla="*/ T96 w 9901"/>
                                  <a:gd name="T98" fmla="+- 0 528 10"/>
                                  <a:gd name="T99" fmla="*/ 528 h 1541"/>
                                  <a:gd name="T100" fmla="+- 0 9906 10"/>
                                  <a:gd name="T101" fmla="*/ T100 w 9901"/>
                                  <a:gd name="T102" fmla="+- 0 837 10"/>
                                  <a:gd name="T103" fmla="*/ 837 h 1541"/>
                                  <a:gd name="T104" fmla="+- 0 9907 10"/>
                                  <a:gd name="T105" fmla="*/ T104 w 9901"/>
                                  <a:gd name="T106" fmla="+- 0 1163 10"/>
                                  <a:gd name="T107" fmla="*/ 1163 h 1541"/>
                                  <a:gd name="T108" fmla="+- 0 9824 10"/>
                                  <a:gd name="T109" fmla="*/ T108 w 9901"/>
                                  <a:gd name="T110" fmla="+- 0 1536 10"/>
                                  <a:gd name="T111" fmla="*/ 1536 h 1541"/>
                                  <a:gd name="T112" fmla="+- 0 9409 10"/>
                                  <a:gd name="T113" fmla="*/ T112 w 9901"/>
                                  <a:gd name="T114" fmla="+- 0 1521 10"/>
                                  <a:gd name="T115" fmla="*/ 1521 h 1541"/>
                                  <a:gd name="T116" fmla="+- 0 9095 10"/>
                                  <a:gd name="T117" fmla="*/ T116 w 9901"/>
                                  <a:gd name="T118" fmla="+- 0 1512 10"/>
                                  <a:gd name="T119" fmla="*/ 1512 h 1541"/>
                                  <a:gd name="T120" fmla="+- 0 8767 10"/>
                                  <a:gd name="T121" fmla="*/ T120 w 9901"/>
                                  <a:gd name="T122" fmla="+- 0 1506 10"/>
                                  <a:gd name="T123" fmla="*/ 1506 h 1541"/>
                                  <a:gd name="T124" fmla="+- 0 8426 10"/>
                                  <a:gd name="T125" fmla="*/ T124 w 9901"/>
                                  <a:gd name="T126" fmla="+- 0 1503 10"/>
                                  <a:gd name="T127" fmla="*/ 1503 h 1541"/>
                                  <a:gd name="T128" fmla="+- 0 8072 10"/>
                                  <a:gd name="T129" fmla="*/ T128 w 9901"/>
                                  <a:gd name="T130" fmla="+- 0 1500 10"/>
                                  <a:gd name="T131" fmla="*/ 1500 h 1541"/>
                                  <a:gd name="T132" fmla="+- 0 7707 10"/>
                                  <a:gd name="T133" fmla="*/ T132 w 9901"/>
                                  <a:gd name="T134" fmla="+- 0 1500 10"/>
                                  <a:gd name="T135" fmla="*/ 1500 h 1541"/>
                                  <a:gd name="T136" fmla="+- 0 7330 10"/>
                                  <a:gd name="T137" fmla="*/ T136 w 9901"/>
                                  <a:gd name="T138" fmla="+- 0 1501 10"/>
                                  <a:gd name="T139" fmla="*/ 1501 h 1541"/>
                                  <a:gd name="T140" fmla="+- 0 6944 10"/>
                                  <a:gd name="T141" fmla="*/ T140 w 9901"/>
                                  <a:gd name="T142" fmla="+- 0 1503 10"/>
                                  <a:gd name="T143" fmla="*/ 1503 h 1541"/>
                                  <a:gd name="T144" fmla="+- 0 6548 10"/>
                                  <a:gd name="T145" fmla="*/ T144 w 9901"/>
                                  <a:gd name="T146" fmla="+- 0 1506 10"/>
                                  <a:gd name="T147" fmla="*/ 1506 h 1541"/>
                                  <a:gd name="T148" fmla="+- 0 6144 10"/>
                                  <a:gd name="T149" fmla="*/ T148 w 9901"/>
                                  <a:gd name="T150" fmla="+- 0 1510 10"/>
                                  <a:gd name="T151" fmla="*/ 1510 h 1541"/>
                                  <a:gd name="T152" fmla="+- 0 5732 10"/>
                                  <a:gd name="T153" fmla="*/ T152 w 9901"/>
                                  <a:gd name="T154" fmla="+- 0 1515 10"/>
                                  <a:gd name="T155" fmla="*/ 1515 h 1541"/>
                                  <a:gd name="T156" fmla="+- 0 5314 10"/>
                                  <a:gd name="T157" fmla="*/ T156 w 9901"/>
                                  <a:gd name="T158" fmla="+- 0 1520 10"/>
                                  <a:gd name="T159" fmla="*/ 1520 h 1541"/>
                                  <a:gd name="T160" fmla="+- 0 4888 10"/>
                                  <a:gd name="T161" fmla="*/ T160 w 9901"/>
                                  <a:gd name="T162" fmla="+- 0 1525 10"/>
                                  <a:gd name="T163" fmla="*/ 1525 h 1541"/>
                                  <a:gd name="T164" fmla="+- 0 4458 10"/>
                                  <a:gd name="T165" fmla="*/ T164 w 9901"/>
                                  <a:gd name="T166" fmla="+- 0 1530 10"/>
                                  <a:gd name="T167" fmla="*/ 1530 h 1541"/>
                                  <a:gd name="T168" fmla="+- 0 4023 10"/>
                                  <a:gd name="T169" fmla="*/ T168 w 9901"/>
                                  <a:gd name="T170" fmla="+- 0 1535 10"/>
                                  <a:gd name="T171" fmla="*/ 1535 h 1541"/>
                                  <a:gd name="T172" fmla="+- 0 3584 10"/>
                                  <a:gd name="T173" fmla="*/ T172 w 9901"/>
                                  <a:gd name="T174" fmla="+- 0 1540 10"/>
                                  <a:gd name="T175" fmla="*/ 1540 h 1541"/>
                                  <a:gd name="T176" fmla="+- 0 3142 10"/>
                                  <a:gd name="T177" fmla="*/ T176 w 9901"/>
                                  <a:gd name="T178" fmla="+- 0 1544 10"/>
                                  <a:gd name="T179" fmla="*/ 1544 h 1541"/>
                                  <a:gd name="T180" fmla="+- 0 2698 10"/>
                                  <a:gd name="T181" fmla="*/ T180 w 9901"/>
                                  <a:gd name="T182" fmla="+- 0 1547 10"/>
                                  <a:gd name="T183" fmla="*/ 1547 h 1541"/>
                                  <a:gd name="T184" fmla="+- 0 2252 10"/>
                                  <a:gd name="T185" fmla="*/ T184 w 9901"/>
                                  <a:gd name="T186" fmla="+- 0 1549 10"/>
                                  <a:gd name="T187" fmla="*/ 1549 h 1541"/>
                                  <a:gd name="T188" fmla="+- 0 1805 10"/>
                                  <a:gd name="T189" fmla="*/ T188 w 9901"/>
                                  <a:gd name="T190" fmla="+- 0 1550 10"/>
                                  <a:gd name="T191" fmla="*/ 1550 h 1541"/>
                                  <a:gd name="T192" fmla="+- 0 1359 10"/>
                                  <a:gd name="T193" fmla="*/ T192 w 9901"/>
                                  <a:gd name="T194" fmla="+- 0 1550 10"/>
                                  <a:gd name="T195" fmla="*/ 1550 h 1541"/>
                                  <a:gd name="T196" fmla="+- 0 913 10"/>
                                  <a:gd name="T197" fmla="*/ T196 w 9901"/>
                                  <a:gd name="T198" fmla="+- 0 1548 10"/>
                                  <a:gd name="T199" fmla="*/ 1548 h 1541"/>
                                  <a:gd name="T200" fmla="+- 0 469 10"/>
                                  <a:gd name="T201" fmla="*/ T200 w 9901"/>
                                  <a:gd name="T202" fmla="+- 0 1544 10"/>
                                  <a:gd name="T203" fmla="*/ 1544 h 1541"/>
                                  <a:gd name="T204" fmla="+- 0 27 10"/>
                                  <a:gd name="T205" fmla="*/ T204 w 9901"/>
                                  <a:gd name="T206" fmla="+- 0 1539 10"/>
                                  <a:gd name="T207" fmla="*/ 1539 h 1541"/>
                                  <a:gd name="T208" fmla="+- 0 31 10"/>
                                  <a:gd name="T209" fmla="*/ T208 w 9901"/>
                                  <a:gd name="T210" fmla="+- 0 1180 10"/>
                                  <a:gd name="T211" fmla="*/ 1180 h 1541"/>
                                  <a:gd name="T212" fmla="+- 0 16 10"/>
                                  <a:gd name="T213" fmla="*/ T212 w 9901"/>
                                  <a:gd name="T214" fmla="+- 0 780 10"/>
                                  <a:gd name="T215" fmla="*/ 780 h 1541"/>
                                  <a:gd name="T216" fmla="+- 0 12 10"/>
                                  <a:gd name="T217" fmla="*/ T216 w 9901"/>
                                  <a:gd name="T218" fmla="+- 0 352 10"/>
                                  <a:gd name="T219" fmla="*/ 352 h 1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901" h="1541">
                                    <a:moveTo>
                                      <a:pt x="17" y="77"/>
                                    </a:moveTo>
                                    <a:lnTo>
                                      <a:pt x="131" y="65"/>
                                    </a:lnTo>
                                    <a:lnTo>
                                      <a:pt x="246" y="55"/>
                                    </a:lnTo>
                                    <a:lnTo>
                                      <a:pt x="363" y="46"/>
                                    </a:lnTo>
                                    <a:lnTo>
                                      <a:pt x="481" y="37"/>
                                    </a:lnTo>
                                    <a:lnTo>
                                      <a:pt x="600" y="30"/>
                                    </a:lnTo>
                                    <a:lnTo>
                                      <a:pt x="661" y="26"/>
                                    </a:lnTo>
                                    <a:lnTo>
                                      <a:pt x="721" y="23"/>
                                    </a:lnTo>
                                    <a:lnTo>
                                      <a:pt x="782" y="20"/>
                                    </a:lnTo>
                                    <a:lnTo>
                                      <a:pt x="843" y="18"/>
                                    </a:lnTo>
                                    <a:lnTo>
                                      <a:pt x="905" y="15"/>
                                    </a:lnTo>
                                    <a:lnTo>
                                      <a:pt x="967" y="13"/>
                                    </a:lnTo>
                                    <a:lnTo>
                                      <a:pt x="1029" y="11"/>
                                    </a:lnTo>
                                    <a:lnTo>
                                      <a:pt x="1092" y="9"/>
                                    </a:lnTo>
                                    <a:lnTo>
                                      <a:pt x="1155" y="7"/>
                                    </a:lnTo>
                                    <a:lnTo>
                                      <a:pt x="1219" y="6"/>
                                    </a:lnTo>
                                    <a:lnTo>
                                      <a:pt x="1282" y="4"/>
                                    </a:lnTo>
                                    <a:lnTo>
                                      <a:pt x="1346" y="3"/>
                                    </a:lnTo>
                                    <a:lnTo>
                                      <a:pt x="1411" y="2"/>
                                    </a:lnTo>
                                    <a:lnTo>
                                      <a:pt x="1476" y="1"/>
                                    </a:lnTo>
                                    <a:lnTo>
                                      <a:pt x="1541" y="1"/>
                                    </a:lnTo>
                                    <a:lnTo>
                                      <a:pt x="1607" y="0"/>
                                    </a:lnTo>
                                    <a:lnTo>
                                      <a:pt x="1673" y="0"/>
                                    </a:lnTo>
                                    <a:lnTo>
                                      <a:pt x="1739" y="0"/>
                                    </a:lnTo>
                                    <a:lnTo>
                                      <a:pt x="1805" y="0"/>
                                    </a:lnTo>
                                    <a:lnTo>
                                      <a:pt x="1872" y="0"/>
                                    </a:lnTo>
                                    <a:lnTo>
                                      <a:pt x="1940" y="0"/>
                                    </a:lnTo>
                                    <a:lnTo>
                                      <a:pt x="2008" y="1"/>
                                    </a:lnTo>
                                    <a:lnTo>
                                      <a:pt x="2076" y="2"/>
                                    </a:lnTo>
                                    <a:lnTo>
                                      <a:pt x="2144" y="2"/>
                                    </a:lnTo>
                                    <a:lnTo>
                                      <a:pt x="2213" y="3"/>
                                    </a:lnTo>
                                    <a:lnTo>
                                      <a:pt x="2282" y="4"/>
                                    </a:lnTo>
                                    <a:lnTo>
                                      <a:pt x="2352" y="5"/>
                                    </a:lnTo>
                                    <a:lnTo>
                                      <a:pt x="2422" y="6"/>
                                    </a:lnTo>
                                    <a:lnTo>
                                      <a:pt x="2492" y="8"/>
                                    </a:lnTo>
                                    <a:lnTo>
                                      <a:pt x="2563" y="9"/>
                                    </a:lnTo>
                                    <a:lnTo>
                                      <a:pt x="2634" y="11"/>
                                    </a:lnTo>
                                    <a:lnTo>
                                      <a:pt x="2705" y="12"/>
                                    </a:lnTo>
                                    <a:lnTo>
                                      <a:pt x="2777" y="14"/>
                                    </a:lnTo>
                                    <a:lnTo>
                                      <a:pt x="2849" y="16"/>
                                    </a:lnTo>
                                    <a:lnTo>
                                      <a:pt x="2922" y="18"/>
                                    </a:lnTo>
                                    <a:lnTo>
                                      <a:pt x="2994" y="20"/>
                                    </a:lnTo>
                                    <a:lnTo>
                                      <a:pt x="3068" y="22"/>
                                    </a:lnTo>
                                    <a:lnTo>
                                      <a:pt x="3141" y="24"/>
                                    </a:lnTo>
                                    <a:lnTo>
                                      <a:pt x="3215" y="26"/>
                                    </a:lnTo>
                                    <a:lnTo>
                                      <a:pt x="3290" y="28"/>
                                    </a:lnTo>
                                    <a:lnTo>
                                      <a:pt x="3364" y="30"/>
                                    </a:lnTo>
                                    <a:lnTo>
                                      <a:pt x="3440" y="33"/>
                                    </a:lnTo>
                                    <a:lnTo>
                                      <a:pt x="3515" y="35"/>
                                    </a:lnTo>
                                    <a:lnTo>
                                      <a:pt x="3591" y="38"/>
                                    </a:lnTo>
                                    <a:lnTo>
                                      <a:pt x="3667" y="40"/>
                                    </a:lnTo>
                                    <a:lnTo>
                                      <a:pt x="3744" y="43"/>
                                    </a:lnTo>
                                    <a:lnTo>
                                      <a:pt x="3821" y="45"/>
                                    </a:lnTo>
                                    <a:lnTo>
                                      <a:pt x="3898" y="48"/>
                                    </a:lnTo>
                                    <a:lnTo>
                                      <a:pt x="3976" y="51"/>
                                    </a:lnTo>
                                    <a:lnTo>
                                      <a:pt x="4054" y="53"/>
                                    </a:lnTo>
                                    <a:lnTo>
                                      <a:pt x="4133" y="56"/>
                                    </a:lnTo>
                                    <a:lnTo>
                                      <a:pt x="4211" y="59"/>
                                    </a:lnTo>
                                    <a:lnTo>
                                      <a:pt x="4291" y="61"/>
                                    </a:lnTo>
                                    <a:lnTo>
                                      <a:pt x="4370" y="64"/>
                                    </a:lnTo>
                                    <a:lnTo>
                                      <a:pt x="4450" y="67"/>
                                    </a:lnTo>
                                    <a:lnTo>
                                      <a:pt x="4531" y="69"/>
                                    </a:lnTo>
                                    <a:lnTo>
                                      <a:pt x="4612" y="72"/>
                                    </a:lnTo>
                                    <a:lnTo>
                                      <a:pt x="4693" y="75"/>
                                    </a:lnTo>
                                    <a:lnTo>
                                      <a:pt x="4775" y="77"/>
                                    </a:lnTo>
                                    <a:lnTo>
                                      <a:pt x="4856" y="80"/>
                                    </a:lnTo>
                                    <a:lnTo>
                                      <a:pt x="4939" y="83"/>
                                    </a:lnTo>
                                    <a:lnTo>
                                      <a:pt x="5022" y="85"/>
                                    </a:lnTo>
                                    <a:lnTo>
                                      <a:pt x="5105" y="88"/>
                                    </a:lnTo>
                                    <a:lnTo>
                                      <a:pt x="5188" y="90"/>
                                    </a:lnTo>
                                    <a:lnTo>
                                      <a:pt x="5272" y="93"/>
                                    </a:lnTo>
                                    <a:lnTo>
                                      <a:pt x="5356" y="95"/>
                                    </a:lnTo>
                                    <a:lnTo>
                                      <a:pt x="5441" y="98"/>
                                    </a:lnTo>
                                    <a:lnTo>
                                      <a:pt x="5526" y="100"/>
                                    </a:lnTo>
                                    <a:lnTo>
                                      <a:pt x="5612" y="102"/>
                                    </a:lnTo>
                                    <a:lnTo>
                                      <a:pt x="5697" y="104"/>
                                    </a:lnTo>
                                    <a:lnTo>
                                      <a:pt x="5784" y="107"/>
                                    </a:lnTo>
                                    <a:lnTo>
                                      <a:pt x="5870" y="109"/>
                                    </a:lnTo>
                                    <a:lnTo>
                                      <a:pt x="5957" y="111"/>
                                    </a:lnTo>
                                    <a:lnTo>
                                      <a:pt x="6045" y="113"/>
                                    </a:lnTo>
                                    <a:lnTo>
                                      <a:pt x="6133" y="114"/>
                                    </a:lnTo>
                                    <a:lnTo>
                                      <a:pt x="6221" y="116"/>
                                    </a:lnTo>
                                    <a:lnTo>
                                      <a:pt x="6309" y="118"/>
                                    </a:lnTo>
                                    <a:lnTo>
                                      <a:pt x="6398" y="119"/>
                                    </a:lnTo>
                                    <a:lnTo>
                                      <a:pt x="6488" y="121"/>
                                    </a:lnTo>
                                    <a:lnTo>
                                      <a:pt x="6578" y="122"/>
                                    </a:lnTo>
                                    <a:lnTo>
                                      <a:pt x="6668" y="124"/>
                                    </a:lnTo>
                                    <a:lnTo>
                                      <a:pt x="6758" y="125"/>
                                    </a:lnTo>
                                    <a:lnTo>
                                      <a:pt x="6849" y="126"/>
                                    </a:lnTo>
                                    <a:lnTo>
                                      <a:pt x="6941" y="127"/>
                                    </a:lnTo>
                                    <a:lnTo>
                                      <a:pt x="7033" y="127"/>
                                    </a:lnTo>
                                    <a:lnTo>
                                      <a:pt x="7125" y="128"/>
                                    </a:lnTo>
                                    <a:lnTo>
                                      <a:pt x="7217" y="129"/>
                                    </a:lnTo>
                                    <a:lnTo>
                                      <a:pt x="7310" y="129"/>
                                    </a:lnTo>
                                    <a:lnTo>
                                      <a:pt x="7404" y="129"/>
                                    </a:lnTo>
                                    <a:lnTo>
                                      <a:pt x="7498" y="129"/>
                                    </a:lnTo>
                                    <a:lnTo>
                                      <a:pt x="7592" y="129"/>
                                    </a:lnTo>
                                    <a:lnTo>
                                      <a:pt x="7686" y="129"/>
                                    </a:lnTo>
                                    <a:lnTo>
                                      <a:pt x="7781" y="129"/>
                                    </a:lnTo>
                                    <a:lnTo>
                                      <a:pt x="7877" y="128"/>
                                    </a:lnTo>
                                    <a:lnTo>
                                      <a:pt x="7973" y="127"/>
                                    </a:lnTo>
                                    <a:lnTo>
                                      <a:pt x="8069" y="127"/>
                                    </a:lnTo>
                                    <a:lnTo>
                                      <a:pt x="8166" y="125"/>
                                    </a:lnTo>
                                    <a:lnTo>
                                      <a:pt x="8263" y="124"/>
                                    </a:lnTo>
                                    <a:lnTo>
                                      <a:pt x="8360" y="123"/>
                                    </a:lnTo>
                                    <a:lnTo>
                                      <a:pt x="8458" y="121"/>
                                    </a:lnTo>
                                    <a:lnTo>
                                      <a:pt x="8556" y="119"/>
                                    </a:lnTo>
                                    <a:lnTo>
                                      <a:pt x="8655" y="117"/>
                                    </a:lnTo>
                                    <a:lnTo>
                                      <a:pt x="8754" y="115"/>
                                    </a:lnTo>
                                    <a:lnTo>
                                      <a:pt x="8853" y="113"/>
                                    </a:lnTo>
                                    <a:lnTo>
                                      <a:pt x="8953" y="110"/>
                                    </a:lnTo>
                                    <a:lnTo>
                                      <a:pt x="9054" y="107"/>
                                    </a:lnTo>
                                    <a:lnTo>
                                      <a:pt x="9154" y="104"/>
                                    </a:lnTo>
                                    <a:lnTo>
                                      <a:pt x="9255" y="101"/>
                                    </a:lnTo>
                                    <a:lnTo>
                                      <a:pt x="9357" y="98"/>
                                    </a:lnTo>
                                    <a:lnTo>
                                      <a:pt x="9459" y="94"/>
                                    </a:lnTo>
                                    <a:lnTo>
                                      <a:pt x="9561" y="90"/>
                                    </a:lnTo>
                                    <a:lnTo>
                                      <a:pt x="9664" y="86"/>
                                    </a:lnTo>
                                    <a:lnTo>
                                      <a:pt x="9767" y="81"/>
                                    </a:lnTo>
                                    <a:lnTo>
                                      <a:pt x="9871" y="77"/>
                                    </a:lnTo>
                                    <a:lnTo>
                                      <a:pt x="9871" y="183"/>
                                    </a:lnTo>
                                    <a:lnTo>
                                      <a:pt x="9872" y="279"/>
                                    </a:lnTo>
                                    <a:lnTo>
                                      <a:pt x="9873" y="366"/>
                                    </a:lnTo>
                                    <a:lnTo>
                                      <a:pt x="9876" y="445"/>
                                    </a:lnTo>
                                    <a:lnTo>
                                      <a:pt x="9879" y="518"/>
                                    </a:lnTo>
                                    <a:lnTo>
                                      <a:pt x="9882" y="586"/>
                                    </a:lnTo>
                                    <a:lnTo>
                                      <a:pt x="9886" y="649"/>
                                    </a:lnTo>
                                    <a:lnTo>
                                      <a:pt x="9890" y="710"/>
                                    </a:lnTo>
                                    <a:lnTo>
                                      <a:pt x="9893" y="768"/>
                                    </a:lnTo>
                                    <a:lnTo>
                                      <a:pt x="9896" y="827"/>
                                    </a:lnTo>
                                    <a:lnTo>
                                      <a:pt x="9898" y="886"/>
                                    </a:lnTo>
                                    <a:lnTo>
                                      <a:pt x="9900" y="947"/>
                                    </a:lnTo>
                                    <a:lnTo>
                                      <a:pt x="9900" y="1011"/>
                                    </a:lnTo>
                                    <a:lnTo>
                                      <a:pt x="9900" y="1079"/>
                                    </a:lnTo>
                                    <a:lnTo>
                                      <a:pt x="9897" y="1153"/>
                                    </a:lnTo>
                                    <a:lnTo>
                                      <a:pt x="9894" y="1234"/>
                                    </a:lnTo>
                                    <a:lnTo>
                                      <a:pt x="9888" y="1323"/>
                                    </a:lnTo>
                                    <a:lnTo>
                                      <a:pt x="9881" y="1421"/>
                                    </a:lnTo>
                                    <a:lnTo>
                                      <a:pt x="9871" y="1529"/>
                                    </a:lnTo>
                                    <a:lnTo>
                                      <a:pt x="9814" y="1526"/>
                                    </a:lnTo>
                                    <a:lnTo>
                                      <a:pt x="9757" y="1524"/>
                                    </a:lnTo>
                                    <a:lnTo>
                                      <a:pt x="9640" y="1519"/>
                                    </a:lnTo>
                                    <a:lnTo>
                                      <a:pt x="9521" y="1514"/>
                                    </a:lnTo>
                                    <a:lnTo>
                                      <a:pt x="9461" y="1512"/>
                                    </a:lnTo>
                                    <a:lnTo>
                                      <a:pt x="9399" y="1511"/>
                                    </a:lnTo>
                                    <a:lnTo>
                                      <a:pt x="9338" y="1509"/>
                                    </a:lnTo>
                                    <a:lnTo>
                                      <a:pt x="9276" y="1507"/>
                                    </a:lnTo>
                                    <a:lnTo>
                                      <a:pt x="9213" y="1505"/>
                                    </a:lnTo>
                                    <a:lnTo>
                                      <a:pt x="9149" y="1504"/>
                                    </a:lnTo>
                                    <a:lnTo>
                                      <a:pt x="9085" y="1502"/>
                                    </a:lnTo>
                                    <a:lnTo>
                                      <a:pt x="9021" y="1501"/>
                                    </a:lnTo>
                                    <a:lnTo>
                                      <a:pt x="8956" y="1500"/>
                                    </a:lnTo>
                                    <a:lnTo>
                                      <a:pt x="8890" y="1499"/>
                                    </a:lnTo>
                                    <a:lnTo>
                                      <a:pt x="8824" y="1497"/>
                                    </a:lnTo>
                                    <a:lnTo>
                                      <a:pt x="8757" y="1496"/>
                                    </a:lnTo>
                                    <a:lnTo>
                                      <a:pt x="8690" y="1496"/>
                                    </a:lnTo>
                                    <a:lnTo>
                                      <a:pt x="8622" y="1495"/>
                                    </a:lnTo>
                                    <a:lnTo>
                                      <a:pt x="8554" y="1494"/>
                                    </a:lnTo>
                                    <a:lnTo>
                                      <a:pt x="8485" y="1493"/>
                                    </a:lnTo>
                                    <a:lnTo>
                                      <a:pt x="8416" y="1493"/>
                                    </a:lnTo>
                                    <a:lnTo>
                                      <a:pt x="8346" y="1492"/>
                                    </a:lnTo>
                                    <a:lnTo>
                                      <a:pt x="8276" y="1491"/>
                                    </a:lnTo>
                                    <a:lnTo>
                                      <a:pt x="8205" y="1491"/>
                                    </a:lnTo>
                                    <a:lnTo>
                                      <a:pt x="8134" y="1491"/>
                                    </a:lnTo>
                                    <a:lnTo>
                                      <a:pt x="8062" y="1490"/>
                                    </a:lnTo>
                                    <a:lnTo>
                                      <a:pt x="7990" y="1490"/>
                                    </a:lnTo>
                                    <a:lnTo>
                                      <a:pt x="7917" y="1490"/>
                                    </a:lnTo>
                                    <a:lnTo>
                                      <a:pt x="7844" y="1490"/>
                                    </a:lnTo>
                                    <a:lnTo>
                                      <a:pt x="7771" y="1490"/>
                                    </a:lnTo>
                                    <a:lnTo>
                                      <a:pt x="7697" y="1490"/>
                                    </a:lnTo>
                                    <a:lnTo>
                                      <a:pt x="7622" y="1490"/>
                                    </a:lnTo>
                                    <a:lnTo>
                                      <a:pt x="7547" y="1490"/>
                                    </a:lnTo>
                                    <a:lnTo>
                                      <a:pt x="7472" y="1490"/>
                                    </a:lnTo>
                                    <a:lnTo>
                                      <a:pt x="7397" y="1491"/>
                                    </a:lnTo>
                                    <a:lnTo>
                                      <a:pt x="7320" y="1491"/>
                                    </a:lnTo>
                                    <a:lnTo>
                                      <a:pt x="7244" y="1491"/>
                                    </a:lnTo>
                                    <a:lnTo>
                                      <a:pt x="7167" y="1492"/>
                                    </a:lnTo>
                                    <a:lnTo>
                                      <a:pt x="7090" y="1492"/>
                                    </a:lnTo>
                                    <a:lnTo>
                                      <a:pt x="7012" y="1492"/>
                                    </a:lnTo>
                                    <a:lnTo>
                                      <a:pt x="6934" y="1493"/>
                                    </a:lnTo>
                                    <a:lnTo>
                                      <a:pt x="6856" y="1494"/>
                                    </a:lnTo>
                                    <a:lnTo>
                                      <a:pt x="6777" y="1494"/>
                                    </a:lnTo>
                                    <a:lnTo>
                                      <a:pt x="6698" y="1495"/>
                                    </a:lnTo>
                                    <a:lnTo>
                                      <a:pt x="6618" y="1495"/>
                                    </a:lnTo>
                                    <a:lnTo>
                                      <a:pt x="6538" y="1496"/>
                                    </a:lnTo>
                                    <a:lnTo>
                                      <a:pt x="6458" y="1497"/>
                                    </a:lnTo>
                                    <a:lnTo>
                                      <a:pt x="6378" y="1498"/>
                                    </a:lnTo>
                                    <a:lnTo>
                                      <a:pt x="6297" y="1498"/>
                                    </a:lnTo>
                                    <a:lnTo>
                                      <a:pt x="6216" y="1499"/>
                                    </a:lnTo>
                                    <a:lnTo>
                                      <a:pt x="6134" y="1500"/>
                                    </a:lnTo>
                                    <a:lnTo>
                                      <a:pt x="6053" y="1501"/>
                                    </a:lnTo>
                                    <a:lnTo>
                                      <a:pt x="5970" y="1502"/>
                                    </a:lnTo>
                                    <a:lnTo>
                                      <a:pt x="5888" y="1503"/>
                                    </a:lnTo>
                                    <a:lnTo>
                                      <a:pt x="5805" y="1504"/>
                                    </a:lnTo>
                                    <a:lnTo>
                                      <a:pt x="5722" y="1505"/>
                                    </a:lnTo>
                                    <a:lnTo>
                                      <a:pt x="5639" y="1506"/>
                                    </a:lnTo>
                                    <a:lnTo>
                                      <a:pt x="5556" y="1507"/>
                                    </a:lnTo>
                                    <a:lnTo>
                                      <a:pt x="5472" y="1508"/>
                                    </a:lnTo>
                                    <a:lnTo>
                                      <a:pt x="5388" y="1509"/>
                                    </a:lnTo>
                                    <a:lnTo>
                                      <a:pt x="5304" y="1510"/>
                                    </a:lnTo>
                                    <a:lnTo>
                                      <a:pt x="5219" y="1511"/>
                                    </a:lnTo>
                                    <a:lnTo>
                                      <a:pt x="5134" y="1512"/>
                                    </a:lnTo>
                                    <a:lnTo>
                                      <a:pt x="5049" y="1513"/>
                                    </a:lnTo>
                                    <a:lnTo>
                                      <a:pt x="4964" y="1514"/>
                                    </a:lnTo>
                                    <a:lnTo>
                                      <a:pt x="4878" y="1515"/>
                                    </a:lnTo>
                                    <a:lnTo>
                                      <a:pt x="4793" y="1516"/>
                                    </a:lnTo>
                                    <a:lnTo>
                                      <a:pt x="4707" y="1517"/>
                                    </a:lnTo>
                                    <a:lnTo>
                                      <a:pt x="4621" y="1518"/>
                                    </a:lnTo>
                                    <a:lnTo>
                                      <a:pt x="4534" y="1519"/>
                                    </a:lnTo>
                                    <a:lnTo>
                                      <a:pt x="4448" y="1520"/>
                                    </a:lnTo>
                                    <a:lnTo>
                                      <a:pt x="4361" y="1521"/>
                                    </a:lnTo>
                                    <a:lnTo>
                                      <a:pt x="4274" y="1522"/>
                                    </a:lnTo>
                                    <a:lnTo>
                                      <a:pt x="4187" y="1523"/>
                                    </a:lnTo>
                                    <a:lnTo>
                                      <a:pt x="4100" y="1524"/>
                                    </a:lnTo>
                                    <a:lnTo>
                                      <a:pt x="4013" y="1525"/>
                                    </a:lnTo>
                                    <a:lnTo>
                                      <a:pt x="3925" y="1526"/>
                                    </a:lnTo>
                                    <a:lnTo>
                                      <a:pt x="3838" y="1527"/>
                                    </a:lnTo>
                                    <a:lnTo>
                                      <a:pt x="3750" y="1528"/>
                                    </a:lnTo>
                                    <a:lnTo>
                                      <a:pt x="3662" y="1529"/>
                                    </a:lnTo>
                                    <a:lnTo>
                                      <a:pt x="3574" y="1530"/>
                                    </a:lnTo>
                                    <a:lnTo>
                                      <a:pt x="3486" y="1531"/>
                                    </a:lnTo>
                                    <a:lnTo>
                                      <a:pt x="3397" y="1531"/>
                                    </a:lnTo>
                                    <a:lnTo>
                                      <a:pt x="3309" y="1532"/>
                                    </a:lnTo>
                                    <a:lnTo>
                                      <a:pt x="3220" y="1533"/>
                                    </a:lnTo>
                                    <a:lnTo>
                                      <a:pt x="3132" y="1534"/>
                                    </a:lnTo>
                                    <a:lnTo>
                                      <a:pt x="3043" y="1535"/>
                                    </a:lnTo>
                                    <a:lnTo>
                                      <a:pt x="2954" y="1535"/>
                                    </a:lnTo>
                                    <a:lnTo>
                                      <a:pt x="2866" y="1536"/>
                                    </a:lnTo>
                                    <a:lnTo>
                                      <a:pt x="2777" y="1536"/>
                                    </a:lnTo>
                                    <a:lnTo>
                                      <a:pt x="2688" y="1537"/>
                                    </a:lnTo>
                                    <a:lnTo>
                                      <a:pt x="2598" y="1538"/>
                                    </a:lnTo>
                                    <a:lnTo>
                                      <a:pt x="2509" y="1538"/>
                                    </a:lnTo>
                                    <a:lnTo>
                                      <a:pt x="2420" y="1539"/>
                                    </a:lnTo>
                                    <a:lnTo>
                                      <a:pt x="2331" y="1539"/>
                                    </a:lnTo>
                                    <a:lnTo>
                                      <a:pt x="2242" y="1539"/>
                                    </a:lnTo>
                                    <a:lnTo>
                                      <a:pt x="2152" y="1540"/>
                                    </a:lnTo>
                                    <a:lnTo>
                                      <a:pt x="2063" y="1540"/>
                                    </a:lnTo>
                                    <a:lnTo>
                                      <a:pt x="1974" y="1540"/>
                                    </a:lnTo>
                                    <a:lnTo>
                                      <a:pt x="1884" y="1540"/>
                                    </a:lnTo>
                                    <a:lnTo>
                                      <a:pt x="1795" y="1540"/>
                                    </a:lnTo>
                                    <a:lnTo>
                                      <a:pt x="1706" y="1540"/>
                                    </a:lnTo>
                                    <a:lnTo>
                                      <a:pt x="1616" y="1540"/>
                                    </a:lnTo>
                                    <a:lnTo>
                                      <a:pt x="1527" y="1540"/>
                                    </a:lnTo>
                                    <a:lnTo>
                                      <a:pt x="1438" y="1540"/>
                                    </a:lnTo>
                                    <a:lnTo>
                                      <a:pt x="1349" y="1540"/>
                                    </a:lnTo>
                                    <a:lnTo>
                                      <a:pt x="1259" y="1540"/>
                                    </a:lnTo>
                                    <a:lnTo>
                                      <a:pt x="1170" y="1540"/>
                                    </a:lnTo>
                                    <a:lnTo>
                                      <a:pt x="1081" y="1539"/>
                                    </a:lnTo>
                                    <a:lnTo>
                                      <a:pt x="992" y="1539"/>
                                    </a:lnTo>
                                    <a:lnTo>
                                      <a:pt x="903" y="1538"/>
                                    </a:lnTo>
                                    <a:lnTo>
                                      <a:pt x="814" y="1538"/>
                                    </a:lnTo>
                                    <a:lnTo>
                                      <a:pt x="725" y="1537"/>
                                    </a:lnTo>
                                    <a:lnTo>
                                      <a:pt x="636" y="1536"/>
                                    </a:lnTo>
                                    <a:lnTo>
                                      <a:pt x="547" y="1535"/>
                                    </a:lnTo>
                                    <a:lnTo>
                                      <a:pt x="459" y="1534"/>
                                    </a:lnTo>
                                    <a:lnTo>
                                      <a:pt x="370" y="1533"/>
                                    </a:lnTo>
                                    <a:lnTo>
                                      <a:pt x="282" y="1532"/>
                                    </a:lnTo>
                                    <a:lnTo>
                                      <a:pt x="193" y="1531"/>
                                    </a:lnTo>
                                    <a:lnTo>
                                      <a:pt x="105" y="1530"/>
                                    </a:lnTo>
                                    <a:lnTo>
                                      <a:pt x="17" y="1529"/>
                                    </a:lnTo>
                                    <a:lnTo>
                                      <a:pt x="21" y="1461"/>
                                    </a:lnTo>
                                    <a:lnTo>
                                      <a:pt x="23" y="1391"/>
                                    </a:lnTo>
                                    <a:lnTo>
                                      <a:pt x="23" y="1319"/>
                                    </a:lnTo>
                                    <a:lnTo>
                                      <a:pt x="23" y="1245"/>
                                    </a:lnTo>
                                    <a:lnTo>
                                      <a:pt x="21" y="1170"/>
                                    </a:lnTo>
                                    <a:lnTo>
                                      <a:pt x="19" y="1093"/>
                                    </a:lnTo>
                                    <a:lnTo>
                                      <a:pt x="16" y="1014"/>
                                    </a:lnTo>
                                    <a:lnTo>
                                      <a:pt x="12" y="934"/>
                                    </a:lnTo>
                                    <a:lnTo>
                                      <a:pt x="9" y="853"/>
                                    </a:lnTo>
                                    <a:lnTo>
                                      <a:pt x="6" y="770"/>
                                    </a:lnTo>
                                    <a:lnTo>
                                      <a:pt x="3" y="687"/>
                                    </a:lnTo>
                                    <a:lnTo>
                                      <a:pt x="1" y="602"/>
                                    </a:lnTo>
                                    <a:lnTo>
                                      <a:pt x="0" y="516"/>
                                    </a:lnTo>
                                    <a:lnTo>
                                      <a:pt x="0" y="430"/>
                                    </a:lnTo>
                                    <a:lnTo>
                                      <a:pt x="2" y="342"/>
                                    </a:lnTo>
                                    <a:lnTo>
                                      <a:pt x="5" y="254"/>
                                    </a:lnTo>
                                    <a:lnTo>
                                      <a:pt x="10" y="166"/>
                                    </a:lnTo>
                                    <a:lnTo>
                                      <a:pt x="17" y="77"/>
                                    </a:lnTo>
                                    <a:close/>
                                  </a:path>
                                </a:pathLst>
                              </a:custGeom>
                              <a:noFill/>
                              <a:ln w="12700">
                                <a:solidFill>
                                  <a:srgbClr val="C55A11"/>
                                </a:solidFill>
                                <a:round/>
                              </a:ln>
                            </wps:spPr>
                            <wps:bodyPr rot="0" vert="horz" wrap="square" lIns="91440" tIns="45720" rIns="91440" bIns="45720" anchor="t" anchorCtr="0" upright="1">
                              <a:noAutofit/>
                            </wps:bodyPr>
                          </wps:wsp>
                          <pic:pic xmlns:pic="http://schemas.openxmlformats.org/drawingml/2006/picture">
                            <pic:nvPicPr>
                              <pic:cNvPr id="951039009"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8440" y="370"/>
                                <a:ext cx="1052" cy="921"/>
                              </a:xfrm>
                              <a:prstGeom prst="rect">
                                <a:avLst/>
                              </a:prstGeom>
                              <a:noFill/>
                            </pic:spPr>
                          </pic:pic>
                          <pic:pic xmlns:pic="http://schemas.openxmlformats.org/drawingml/2006/picture">
                            <pic:nvPicPr>
                              <pic:cNvPr id="1485158239"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401" y="382"/>
                                <a:ext cx="888" cy="885"/>
                              </a:xfrm>
                              <a:prstGeom prst="rect">
                                <a:avLst/>
                              </a:prstGeom>
                              <a:noFill/>
                            </pic:spPr>
                          </pic:pic>
                          <wps:wsp>
                            <wps:cNvPr id="884493499" name="Text Box 12"/>
                            <wps:cNvSpPr txBox="1">
                              <a:spLocks noChangeArrowheads="1"/>
                            </wps:cNvSpPr>
                            <wps:spPr bwMode="auto">
                              <a:xfrm>
                                <a:off x="0" y="0"/>
                                <a:ext cx="9921" cy="1561"/>
                              </a:xfrm>
                              <a:prstGeom prst="rect">
                                <a:avLst/>
                              </a:prstGeom>
                              <a:noFill/>
                              <a:ln>
                                <a:noFill/>
                              </a:ln>
                            </wps:spPr>
                            <wps:txbx>
                              <w:txbxContent>
                                <w:p w14:paraId="48C561AA">
                                  <w:pPr>
                                    <w:spacing w:before="3"/>
                                    <w:rPr>
                                      <w:sz w:val="25"/>
                                    </w:rPr>
                                  </w:pPr>
                                </w:p>
                              </w:txbxContent>
                            </wps:txbx>
                            <wps:bodyPr rot="0" vert="horz" wrap="square" lIns="0" tIns="0" rIns="0" bIns="0" anchor="t" anchorCtr="0" upright="1">
                              <a:noAutofit/>
                            </wps:bodyPr>
                          </wps:wsp>
                        </wpg:grpSp>
                        <wpg:grpSp>
                          <wpg:cNvPr id="1467135311" name="Group 13"/>
                          <wpg:cNvGrpSpPr/>
                          <wpg:grpSpPr>
                            <a:xfrm>
                              <a:off x="1491" y="2834"/>
                              <a:ext cx="9122" cy="1073"/>
                              <a:chOff x="1491" y="4334"/>
                              <a:chExt cx="9122" cy="1073"/>
                            </a:xfrm>
                          </wpg:grpSpPr>
                          <wps:wsp>
                            <wps:cNvPr id="1656509317" name="Rectangle 14"/>
                            <wps:cNvSpPr>
                              <a:spLocks noChangeArrowheads="1"/>
                            </wps:cNvSpPr>
                            <wps:spPr bwMode="auto">
                              <a:xfrm>
                                <a:off x="9561" y="4334"/>
                                <a:ext cx="1052" cy="1054"/>
                              </a:xfrm>
                              <a:prstGeom prst="rect">
                                <a:avLst/>
                              </a:prstGeom>
                              <a:blipFill dpi="0" rotWithShape="0">
                                <a:blip r:embed="rId10"/>
                                <a:srcRect/>
                                <a:stretch>
                                  <a:fillRect/>
                                </a:stretch>
                              </a:blipFill>
                              <a:ln>
                                <a:noFill/>
                              </a:ln>
                            </wps:spPr>
                            <wps:bodyPr rot="0" vert="horz" wrap="square" lIns="0" tIns="0" rIns="0" bIns="0" anchor="t" anchorCtr="0" upright="1">
                              <a:noAutofit/>
                            </wps:bodyPr>
                          </wps:wsp>
                          <wps:wsp>
                            <wps:cNvPr id="261468235" name="Text Box 15"/>
                            <wps:cNvSpPr txBox="1">
                              <a:spLocks noChangeArrowheads="1"/>
                            </wps:cNvSpPr>
                            <wps:spPr bwMode="auto">
                              <a:xfrm>
                                <a:off x="1491" y="4353"/>
                                <a:ext cx="1179" cy="1054"/>
                              </a:xfrm>
                              <a:prstGeom prst="rect">
                                <a:avLst/>
                              </a:prstGeom>
                              <a:blipFill dpi="0" rotWithShape="0">
                                <a:blip r:embed="rId11"/>
                                <a:srcRect/>
                                <a:stretch>
                                  <a:fillRect/>
                                </a:stretch>
                              </a:blipFill>
                              <a:ln>
                                <a:noFill/>
                              </a:ln>
                            </wps:spPr>
                            <wps:txbx>
                              <w:txbxContent>
                                <w:p w14:paraId="60886252"/>
                              </w:txbxContent>
                            </wps:txbx>
                            <wps:bodyPr rot="0" vert="horz" wrap="square" lIns="91440" tIns="45720" rIns="91440" bIns="45720" anchor="t" anchorCtr="0" upright="1">
                              <a:noAutofit/>
                            </wps:bodyPr>
                          </wps:wsp>
                        </wpg:grpSp>
                      </wpg:grpSp>
                      <wps:wsp>
                        <wps:cNvPr id="398164733" name="Text Box 16"/>
                        <wps:cNvSpPr txBox="1">
                          <a:spLocks noChangeArrowheads="1"/>
                        </wps:cNvSpPr>
                        <wps:spPr bwMode="auto">
                          <a:xfrm>
                            <a:off x="3485" y="853"/>
                            <a:ext cx="5635" cy="1381"/>
                          </a:xfrm>
                          <a:prstGeom prst="rect">
                            <a:avLst/>
                          </a:prstGeom>
                          <a:noFill/>
                          <a:ln>
                            <a:noFill/>
                          </a:ln>
                        </wps:spPr>
                        <wps:txbx>
                          <w:txbxContent>
                            <w:p w14:paraId="48439706">
                              <w:pPr>
                                <w:spacing w:before="40" w:after="40" w:line="235" w:lineRule="auto"/>
                                <w:ind w:left="-142" w:right="-167"/>
                                <w:jc w:val="center"/>
                                <w:rPr>
                                  <w:spacing w:val="-50"/>
                                  <w:w w:val="95"/>
                                </w:rPr>
                              </w:pPr>
                              <w:r>
                                <w:rPr>
                                  <w:w w:val="95"/>
                                </w:rPr>
                                <w:t>Journal</w:t>
                              </w:r>
                              <w:r>
                                <w:rPr>
                                  <w:spacing w:val="-5"/>
                                  <w:w w:val="95"/>
                                </w:rPr>
                                <w:t xml:space="preserve"> </w:t>
                              </w:r>
                              <w:r>
                                <w:rPr>
                                  <w:w w:val="95"/>
                                </w:rPr>
                                <w:t>of</w:t>
                              </w:r>
                              <w:r>
                                <w:rPr>
                                  <w:spacing w:val="-5"/>
                                  <w:w w:val="95"/>
                                </w:rPr>
                                <w:t xml:space="preserve"> </w:t>
                              </w:r>
                              <w:r>
                                <w:rPr>
                                  <w:w w:val="95"/>
                                </w:rPr>
                                <w:t>Basics</w:t>
                              </w:r>
                              <w:r>
                                <w:rPr>
                                  <w:spacing w:val="-3"/>
                                  <w:w w:val="95"/>
                                </w:rPr>
                                <w:t xml:space="preserve"> </w:t>
                              </w:r>
                              <w:r>
                                <w:rPr>
                                  <w:w w:val="95"/>
                                </w:rPr>
                                <w:t>and</w:t>
                              </w:r>
                              <w:r>
                                <w:rPr>
                                  <w:spacing w:val="-4"/>
                                  <w:w w:val="95"/>
                                </w:rPr>
                                <w:t xml:space="preserve"> </w:t>
                              </w:r>
                              <w:r>
                                <w:rPr>
                                  <w:w w:val="95"/>
                                </w:rPr>
                                <w:t>Applied</w:t>
                              </w:r>
                              <w:r>
                                <w:rPr>
                                  <w:spacing w:val="-3"/>
                                  <w:w w:val="95"/>
                                </w:rPr>
                                <w:t xml:space="preserve"> </w:t>
                              </w:r>
                              <w:r>
                                <w:rPr>
                                  <w:w w:val="95"/>
                                </w:rPr>
                                <w:t>Sciences</w:t>
                              </w:r>
                              <w:r>
                                <w:rPr>
                                  <w:spacing w:val="-2"/>
                                  <w:w w:val="95"/>
                                </w:rPr>
                                <w:t xml:space="preserve"> </w:t>
                              </w:r>
                              <w:r>
                                <w:rPr>
                                  <w:w w:val="95"/>
                                </w:rPr>
                                <w:t>Research</w:t>
                              </w:r>
                              <w:r>
                                <w:rPr>
                                  <w:spacing w:val="-4"/>
                                  <w:w w:val="95"/>
                                </w:rPr>
                                <w:t xml:space="preserve"> </w:t>
                              </w:r>
                              <w:r>
                                <w:rPr>
                                  <w:w w:val="95"/>
                                </w:rPr>
                                <w:t>(JOBASR)</w:t>
                              </w:r>
                              <w:r>
                                <w:rPr>
                                  <w:spacing w:val="-50"/>
                                  <w:w w:val="95"/>
                                </w:rPr>
                                <w:t xml:space="preserve"> </w:t>
                              </w:r>
                            </w:p>
                            <w:p w14:paraId="640589EF">
                              <w:pPr>
                                <w:spacing w:before="40" w:after="40" w:line="235" w:lineRule="auto"/>
                                <w:ind w:left="-142" w:right="-167"/>
                                <w:jc w:val="center"/>
                              </w:pPr>
                              <w:r>
                                <w:t>ISSN</w:t>
                              </w:r>
                              <w:r>
                                <w:rPr>
                                  <w:spacing w:val="-2"/>
                                </w:rPr>
                                <w:t xml:space="preserve"> (</w:t>
                              </w:r>
                              <w:r>
                                <w:t>print):</w:t>
                              </w:r>
                              <w:r>
                                <w:rPr>
                                  <w:spacing w:val="-2"/>
                                </w:rPr>
                                <w:t xml:space="preserve"> </w:t>
                              </w:r>
                              <w:r>
                                <w:t>3026-9091, ISSN (online): 1597-9962</w:t>
                              </w:r>
                            </w:p>
                            <w:p w14:paraId="43897DFA">
                              <w:pPr>
                                <w:spacing w:before="40" w:line="235" w:lineRule="auto"/>
                                <w:ind w:left="-142" w:right="-164"/>
                                <w:jc w:val="center"/>
                              </w:pPr>
                              <w:r>
                                <w:rPr>
                                  <w:w w:val="95"/>
                                </w:rPr>
                                <w:t>Volume</w:t>
                              </w:r>
                              <w:r>
                                <w:rPr>
                                  <w:spacing w:val="-1"/>
                                  <w:w w:val="95"/>
                                </w:rPr>
                                <w:t xml:space="preserve"> </w:t>
                              </w:r>
                              <w:r>
                                <w:rPr>
                                  <w:w w:val="95"/>
                                </w:rPr>
                                <w:t>4(3)</w:t>
                              </w:r>
                              <w:r>
                                <w:rPr>
                                  <w:spacing w:val="-3"/>
                                  <w:w w:val="95"/>
                                </w:rPr>
                                <w:t xml:space="preserve"> </w:t>
                              </w:r>
                              <w:r>
                                <w:rPr>
                                  <w:w w:val="95"/>
                                </w:rPr>
                                <w:t>May 2026</w:t>
                              </w:r>
                            </w:p>
                            <w:p w14:paraId="0CB2A5BB">
                              <w:pPr>
                                <w:jc w:val="center"/>
                              </w:pPr>
                              <w:r>
                                <w:t xml:space="preserve">DOI: </w:t>
                              </w:r>
                              <w:r>
                                <w:fldChar w:fldCharType="begin"/>
                              </w:r>
                              <w:r>
                                <w:instrText xml:space="preserve"> HYPERLINK "https://dx.doi.org/10.4314/jobasr.v4i3.283" </w:instrText>
                              </w:r>
                              <w:r>
                                <w:fldChar w:fldCharType="separate"/>
                              </w:r>
                              <w:r>
                                <w:rPr>
                                  <w:rStyle w:val="25"/>
                                  <w:rFonts w:eastAsia="Arial"/>
                                </w:rPr>
                                <w:t>https://dx.doi.org/10.4314/jobasr.v4i3.28</w:t>
                              </w:r>
                              <w:r>
                                <w:rPr>
                                  <w:rStyle w:val="25"/>
                                  <w:rFonts w:eastAsia="Arial"/>
                                </w:rPr>
                                <w:fldChar w:fldCharType="end"/>
                              </w:r>
                              <w:r>
                                <w:rPr>
                                  <w:rFonts w:eastAsia="Arial"/>
                                </w:rPr>
                                <w:t xml:space="preserve"> </w:t>
                              </w:r>
                              <w:r>
                                <w:t xml:space="preserve"> </w:t>
                              </w:r>
                              <w:r>
                                <w:rPr>
                                  <w:u w:color="0462C1"/>
                                </w:rPr>
                                <w:t xml:space="preserve">          </w:t>
                              </w:r>
                              <w:r>
                                <w:rPr>
                                  <w:color w:val="0462C1"/>
                                  <w:u w:val="single" w:color="0462C1"/>
                                </w:rPr>
                                <w:t xml:space="preserve"> </w:t>
                              </w:r>
                            </w:p>
                            <w:p w14:paraId="3C8CBC78"/>
                          </w:txbxContent>
                        </wps:txbx>
                        <wps:bodyPr rot="0" vert="horz" wrap="square" lIns="91440" tIns="45720" rIns="91440" bIns="45720" anchor="t" anchorCtr="0" upright="1">
                          <a:noAutofit/>
                        </wps:bodyPr>
                      </wps:wsp>
                    </wpg:wgp>
                  </a:graphicData>
                </a:graphic>
              </wp:anchor>
            </w:drawing>
          </mc:Choice>
          <mc:Fallback>
            <w:pict>
              <v:group id="Group 4" o:spid="_x0000_s1026" o:spt="203" style="position:absolute;left:0pt;margin-left:38.55pt;margin-top:9pt;height:82.2pt;width:496.05pt;z-index:251660288;mso-width-relative:page;mso-height-relative:page;" coordorigin="1291,700" coordsize="9921,1644" o:gfxdata="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ZADAAIAAAAUAAAQmJAEAAIAAAAUAAAQrJKRAAIAAAADMTUAAJKSAAIAAAADMTUAAOocAAcAAAgM&#10;AAAIjA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FBAT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DAGw9VzgAAALECAAAZAAAAZHJz&#10;L19yZWxzL2Uyb0RvYy54bWwucmVsc72STYvCMBCG74L/Iczdpq0ii5h6WRa8Lu4PGJJpGm0+SKKs&#10;/96AsCiIe+txZnif9znMdvdrR3ahmIx3ApqqBkZOemWcFvBz+Fp8AEsZncLROxJwpQS7bj7bftOI&#10;uYTSYEJiheKSgCHnsOE8yYEspsoHcuXS+2gxlzFqHlCeUBNv63rN4yMDuicm2ysBca9WwA7XUJr/&#10;Z/u+N5I+vTxbcvlFBTe2dBcgRk1ZgCVl8L5cVcdAGvhrieU0Esu3Eu00Eu1biWYaieZPgj89WncD&#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">
                <o:lock v:ext="edit" aspectratio="f"/>
                <v:group id="Group 7" o:spid="_x0000_s1026" o:spt="203" style="position:absolute;left:1291;top:700;height:1644;width:9921;" coordorigin="1123,2500" coordsize="9921,1644" o:gfxdata="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MKElAnEAAAA4QAAAA8AAAAAAAAAAQAgAAAAIgAAAGRycy9kb3du&#10;cmV2LnhtbFBLAQIUABQAAAAIAIdO4kAzLwWeOwAAADkAAAAVAAAAAAAAAAEAIAAAABMBAABkcnMv&#10;Z3JvdXBzaGFwZXhtbC54bWxQSwUGAAAAAAYABgBgAQAA0AMAAAAA&#10;">
                  <o:lock v:ext="edit" aspectratio="f"/>
                  <v:group id="Group 8" o:spid="_x0000_s1026" o:spt="203" style="position:absolute;left:1123;top:2500;height:1644;width:9921;" coordsize="9921,1561" o:gfxdata="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BLkxlHEAAAA4gAAAA8AAAAAAAAAAQAgAAAAIgAAAGRycy9kb3du&#10;cmV2LnhtbFBLAQIUABQAAAAIAIdO4kAzLwWeOwAAADkAAAAVAAAAAAAAAAEAIAAAABMBAABkcnMv&#10;Z3JvdXBzaGFwZXhtbC54bWxQSwUGAAAAAAYABgBgAQAA0AMAAAAA&#10;">
                    <o:lock v:ext="edit" aspectratio="f"/>
                    <v:shape id="Freeform 9" o:spid="_x0000_s1026" o:spt="100" style="position:absolute;left:10;top:10;height:1541;width:9901;" filled="f" stroked="t" coordsize="9901,1541" o:gfxdata="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ERBl&#10;wAAAAOMAAAAPAAAAAAAAAAEAIAAAACIAAABkcnMvZG93bnJldi54bWxQSwECFAAUAAAACACHTuJA&#10;My8FnjsAAAA5AAAAEAAAAAAAAAABACAAAAAPAQAAZHJzL3NoYXBleG1sLnhtbFBLBQYAAAAABgAG&#10;AFsBAAC5AwAAAAA=&#10;" path="m17,77l131,65,246,55,363,46,481,37,600,30,661,26,721,23,782,20,843,18,905,15,967,13,1029,11,1092,9,1155,7,1219,6,1282,4,1346,3,1411,2,1476,1,1541,1,1607,0,1673,0,1739,0,1805,0,1872,0,1940,0,2008,1,2076,2,2144,2,2213,3,2282,4,2352,5,2422,6,2492,8,2563,9,2634,11,2705,12,2777,14,2849,16,2922,18,2994,20,3068,22,3141,24,3215,26,3290,28,3364,30,3440,33,3515,35,3591,38,3667,40,3744,43,3821,45,3898,48,3976,51,4054,53,4133,56,4211,59,4291,61,4370,64,4450,67,4531,69,4612,72,4693,75,4775,77,4856,80,4939,83,5022,85,5105,88,5188,90,5272,93,5356,95,5441,98,5526,100,5612,102,5697,104,5784,107,5870,109,5957,111,6045,113,6133,114,6221,116,6309,118,6398,119,6488,121,6578,122,6668,124,6758,125,6849,126,6941,127,7033,127,7125,128,7217,129,7310,129,7404,129,7498,129,7592,129,7686,129,7781,129,7877,128,7973,127,8069,127,8166,125,8263,124,8360,123,8458,121,8556,119,8655,117,8754,115,8853,113,8953,110,9054,107,9154,104,9255,101,9357,98,9459,94,9561,90,9664,86,9767,81,9871,77,9871,183,9872,279,9873,366,9876,445,9879,518,9882,586,9886,649,9890,710,9893,768,9896,827,9898,886,9900,947,9900,1011,9900,1079,9897,1153,9894,1234,9888,1323,9881,1421,9871,1529,9814,1526,9757,1524,9640,1519,9521,1514,9461,1512,9399,1511,9338,1509,9276,1507,9213,1505,9149,1504,9085,1502,9021,1501,8956,1500,8890,1499,8824,1497,8757,1496,8690,1496,8622,1495,8554,1494,8485,1493,8416,1493,8346,1492,8276,1491,8205,1491,8134,1491,8062,1490,7990,1490,7917,1490,7844,1490,7771,1490,7697,1490,7622,1490,7547,1490,7472,1490,7397,1491,7320,1491,7244,1491,7167,1492,7090,1492,7012,1492,6934,1493,6856,1494,6777,1494,6698,1495,6618,1495,6538,1496,6458,1497,6378,1498,6297,1498,6216,1499,6134,1500,6053,1501,5970,1502,5888,1503,5805,1504,5722,1505,5639,1506,5556,1507,5472,1508,5388,1509,5304,1510,5219,1511,5134,1512,5049,1513,4964,1514,4878,1515,4793,1516,4707,1517,4621,1518,4534,1519,4448,1520,4361,1521,4274,1522,4187,1523,4100,1524,4013,1525,3925,1526,3838,1527,3750,1528,3662,1529,3574,1530,3486,1531,3397,1531,3309,1532,3220,1533,3132,1534,3043,1535,2954,1535,2866,1536,2777,1536,2688,1537,2598,1538,2509,1538,2420,1539,2331,1539,2242,1539,2152,1540,2063,1540,1974,1540,1884,1540,1795,1540,1706,1540,1616,1540,1527,1540,1438,1540,1349,1540,1259,1540,1170,1540,1081,1539,992,1539,903,1538,814,1538,725,1537,636,1536,547,1535,459,1534,370,1533,282,1532,193,1531,105,1530,17,1529,21,1461,23,1391,23,1319,23,1245,21,1170,19,1093,16,1014,12,934,9,853,6,770,3,687,1,602,0,516,0,430,2,342,5,254,10,166,17,77xe">
                      <v:path o:connectlocs="481,47;843,28;1155,17;1476,11;1805,10;2144,12;2492,18;2849,26;3215,36;3591,48;3976,61;4370,74;4775,87;5188,100;5612,112;6045,123;6488,131;6941,137;7404,139;7877,138;8360,133;8853,123;9357,108;9871,87;9879,528;9896,837;9897,1163;9814,1536;9399,1521;9085,1512;8757,1506;8416,1503;8062,1500;7697,1500;7320,1501;6934,1503;6538,1506;6134,1510;5722,1515;5304,1520;4878,1525;4448,1530;4013,1535;3574,1540;3132,1544;2688,1547;2242,1549;1795,1550;1349,1550;903,1548;459,1544;17,1539;21,1180;6,780;2,352" o:connectangles="0,0,0,0,0,0,0,0,0,0,0,0,0,0,0,0,0,0,0,0,0,0,0,0,0,0,0,0,0,0,0,0,0,0,0,0,0,0,0,0,0,0,0,0,0,0,0,0,0,0,0,0,0,0,0"/>
                      <v:fill on="f" focussize="0,0"/>
                      <v:stroke weight="1pt" color="#C55A11" joinstyle="round"/>
                      <v:imagedata o:title=""/>
                      <o:lock v:ext="edit" aspectratio="f"/>
                    </v:shape>
                    <v:shape id="Picture 10" o:spid="_x0000_s1026" o:spt="75" type="#_x0000_t75" style="position:absolute;left:8440;top:370;height:921;width:1052;" filled="f" o:preferrelative="t" stroked="f" coordsize="21600,21600" o:gfxdata="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CB&#10;Xl7CAAAA4gAAAA8AAAAAAAAAAQAgAAAAIgAAAGRycy9kb3ducmV2LnhtbFBLAQIUABQAAAAIAIdO&#10;4kAzLwWeOwAAADkAAAAQAAAAAAAAAAEAIAAAABEBAABkcnMvc2hhcGV4bWwueG1sUEsFBgAAAAAG&#10;AAYAWwEAALsDAAAAAA==&#10;">
                      <v:fill on="f" focussize="0,0"/>
                      <v:stroke on="f"/>
                      <v:imagedata r:id="rId8" o:title=""/>
                      <o:lock v:ext="edit" aspectratio="t"/>
                    </v:shape>
                    <v:shape id="Picture 11" o:spid="_x0000_s1026" o:spt="75" type="#_x0000_t75" style="position:absolute;left:401;top:382;height:885;width:888;" filled="f" o:preferrelative="t" stroked="f" coordsize="21600,21600" o:gfxdata="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1&#10;K4sLwwAAAOMAAAAPAAAAAAAAAAEAIAAAACIAAABkcnMvZG93bnJldi54bWxQSwECFAAUAAAACACH&#10;TuJAMy8FnjsAAAA5AAAAEAAAAAAAAAABACAAAAASAQAAZHJzL3NoYXBleG1sLnhtbFBLBQYAAAAA&#10;BgAGAFsBAAC8AwAAAAA=&#10;">
                      <v:fill on="f" focussize="0,0"/>
                      <v:stroke on="f"/>
                      <v:imagedata r:id="rId9" o:title=""/>
                      <o:lock v:ext="edit" aspectratio="t"/>
                    </v:shape>
                    <v:shape id="Text Box 12" o:spid="_x0000_s1026" o:spt="202" type="#_x0000_t202" style="position:absolute;left:0;top:0;height:1561;width:9921;" filled="f" stroked="f" coordsize="21600,21600" o:gfxdata="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MdctcQAAADiAAAADwAAAAAAAAABACAAAAAiAAAAZHJzL2Rvd25yZXYueG1sUEsBAhQAFAAAAAgA&#10;h07iQDMvBZ47AAAAOQAAABAAAAAAAAAAAQAgAAAAEwEAAGRycy9zaGFwZXhtbC54bWxQSwUGAAAA&#10;AAYABgBbAQAAvQMAAAAA&#10;">
                      <v:fill on="f" focussize="0,0"/>
                      <v:stroke on="f"/>
                      <v:imagedata o:title=""/>
                      <o:lock v:ext="edit" aspectratio="f"/>
                      <v:textbox inset="0mm,0mm,0mm,0mm">
                        <w:txbxContent>
                          <w:p w14:paraId="48C561AA">
                            <w:pPr>
                              <w:spacing w:before="3"/>
                              <w:rPr>
                                <w:sz w:val="25"/>
                              </w:rPr>
                            </w:pPr>
                          </w:p>
                        </w:txbxContent>
                      </v:textbox>
                    </v:shape>
                  </v:group>
                  <v:group id="Group 13" o:spid="_x0000_s1026" o:spt="203" style="position:absolute;left:1491;top:2834;height:1073;width:9122;" coordorigin="1491,4334" coordsize="9122,1073" o:gfxdata="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MJn6CzBAAAA4wAAAA8AAAAAAAAAAQAgAAAAIgAAAGRycy9kb3ducmV2&#10;LnhtbFBLAQIUABQAAAAIAIdO4kAzLwWeOwAAADkAAAAVAAAAAAAAAAEAIAAAABABAABkcnMvZ3Jv&#10;dXBzaGFwZXhtbC54bWxQSwUGAAAAAAYABgBgAQAAzQMAAAAA&#10;">
                    <o:lock v:ext="edit" aspectratio="f"/>
                    <v:rect id="Rectangle 14" o:spid="_x0000_s1026" o:spt="1" style="position:absolute;left:9561;top:4334;height:1054;width:1052;" filled="t" stroked="f" coordsize="21600,21600" o:gfxdata="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5&#10;2GMqwwAAAOMAAAAPAAAAAAAAAAEAIAAAACIAAABkcnMvZG93bnJldi54bWxQSwECFAAUAAAACACH&#10;TuJAMy8FnjsAAAA5AAAAEAAAAAAAAAABACAAAAASAQAAZHJzL3NoYXBleG1sLnhtbFBLBQYAAAAA&#10;BgAGAFsBAAC8AwAAAAA=&#10;">
                      <v:fill type="frame" on="t" focussize="0,0" recolor="t" r:id="rId10"/>
                      <v:stroke on="f"/>
                      <v:imagedata o:title=""/>
                      <o:lock v:ext="edit" aspectratio="f"/>
                      <v:textbox inset="0mm,0mm,0mm,0mm"/>
                    </v:rect>
                    <v:shape id="Text Box 15" o:spid="_x0000_s1026" o:spt="202" type="#_x0000_t202" style="position:absolute;left:1491;top:4353;height:1054;width:1179;" filled="t" stroked="f" coordsize="21600,21600" o:gfxdata="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w&#10;V4YVwwAAAOIAAAAPAAAAAAAAAAEAIAAAACIAAABkcnMvZG93bnJldi54bWxQSwECFAAUAAAACACH&#10;TuJAMy8FnjsAAAA5AAAAEAAAAAAAAAABACAAAAASAQAAZHJzL3NoYXBleG1sLnhtbFBLBQYAAAAA&#10;BgAGAFsBAAC8AwAAAAA=&#10;">
                      <v:fill type="frame" on="t" focussize="0,0" recolor="t" r:id="rId11"/>
                      <v:stroke on="f"/>
                      <v:imagedata o:title=""/>
                      <o:lock v:ext="edit" aspectratio="f"/>
                      <v:textbox>
                        <w:txbxContent>
                          <w:p w14:paraId="60886252"/>
                        </w:txbxContent>
                      </v:textbox>
                    </v:shape>
                  </v:group>
                </v:group>
                <v:shape id="Text Box 16" o:spid="_x0000_s1026" o:spt="202" type="#_x0000_t202" style="position:absolute;left:3485;top:853;height:1381;width:5635;" filled="f" stroked="f" coordsize="21600,21600" o:gfxdata="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OsW3cQAAADiAAAADwAAAAAAAAABACAAAAAiAAAAZHJzL2Rvd25yZXYueG1sUEsBAhQAFAAAAAgA&#10;h07iQDMvBZ47AAAAOQAAABAAAAAAAAAAAQAgAAAAEwEAAGRycy9zaGFwZXhtbC54bWxQSwUGAAAA&#10;AAYABgBbAQAAvQMAAAAA&#10;">
                  <v:fill on="f" focussize="0,0"/>
                  <v:stroke on="f"/>
                  <v:imagedata o:title=""/>
                  <o:lock v:ext="edit" aspectratio="f"/>
                  <v:textbox>
                    <w:txbxContent>
                      <w:p w14:paraId="48439706">
                        <w:pPr>
                          <w:spacing w:before="40" w:after="40" w:line="235" w:lineRule="auto"/>
                          <w:ind w:left="-142" w:right="-167"/>
                          <w:jc w:val="center"/>
                          <w:rPr>
                            <w:spacing w:val="-50"/>
                            <w:w w:val="95"/>
                          </w:rPr>
                        </w:pPr>
                        <w:r>
                          <w:rPr>
                            <w:w w:val="95"/>
                          </w:rPr>
                          <w:t>Journal</w:t>
                        </w:r>
                        <w:r>
                          <w:rPr>
                            <w:spacing w:val="-5"/>
                            <w:w w:val="95"/>
                          </w:rPr>
                          <w:t xml:space="preserve"> </w:t>
                        </w:r>
                        <w:r>
                          <w:rPr>
                            <w:w w:val="95"/>
                          </w:rPr>
                          <w:t>of</w:t>
                        </w:r>
                        <w:r>
                          <w:rPr>
                            <w:spacing w:val="-5"/>
                            <w:w w:val="95"/>
                          </w:rPr>
                          <w:t xml:space="preserve"> </w:t>
                        </w:r>
                        <w:r>
                          <w:rPr>
                            <w:w w:val="95"/>
                          </w:rPr>
                          <w:t>Basics</w:t>
                        </w:r>
                        <w:r>
                          <w:rPr>
                            <w:spacing w:val="-3"/>
                            <w:w w:val="95"/>
                          </w:rPr>
                          <w:t xml:space="preserve"> </w:t>
                        </w:r>
                        <w:r>
                          <w:rPr>
                            <w:w w:val="95"/>
                          </w:rPr>
                          <w:t>and</w:t>
                        </w:r>
                        <w:r>
                          <w:rPr>
                            <w:spacing w:val="-4"/>
                            <w:w w:val="95"/>
                          </w:rPr>
                          <w:t xml:space="preserve"> </w:t>
                        </w:r>
                        <w:r>
                          <w:rPr>
                            <w:w w:val="95"/>
                          </w:rPr>
                          <w:t>Applied</w:t>
                        </w:r>
                        <w:r>
                          <w:rPr>
                            <w:spacing w:val="-3"/>
                            <w:w w:val="95"/>
                          </w:rPr>
                          <w:t xml:space="preserve"> </w:t>
                        </w:r>
                        <w:r>
                          <w:rPr>
                            <w:w w:val="95"/>
                          </w:rPr>
                          <w:t>Sciences</w:t>
                        </w:r>
                        <w:r>
                          <w:rPr>
                            <w:spacing w:val="-2"/>
                            <w:w w:val="95"/>
                          </w:rPr>
                          <w:t xml:space="preserve"> </w:t>
                        </w:r>
                        <w:r>
                          <w:rPr>
                            <w:w w:val="95"/>
                          </w:rPr>
                          <w:t>Research</w:t>
                        </w:r>
                        <w:r>
                          <w:rPr>
                            <w:spacing w:val="-4"/>
                            <w:w w:val="95"/>
                          </w:rPr>
                          <w:t xml:space="preserve"> </w:t>
                        </w:r>
                        <w:r>
                          <w:rPr>
                            <w:w w:val="95"/>
                          </w:rPr>
                          <w:t>(JOBASR)</w:t>
                        </w:r>
                        <w:r>
                          <w:rPr>
                            <w:spacing w:val="-50"/>
                            <w:w w:val="95"/>
                          </w:rPr>
                          <w:t xml:space="preserve"> </w:t>
                        </w:r>
                      </w:p>
                      <w:p w14:paraId="640589EF">
                        <w:pPr>
                          <w:spacing w:before="40" w:after="40" w:line="235" w:lineRule="auto"/>
                          <w:ind w:left="-142" w:right="-167"/>
                          <w:jc w:val="center"/>
                        </w:pPr>
                        <w:r>
                          <w:t>ISSN</w:t>
                        </w:r>
                        <w:r>
                          <w:rPr>
                            <w:spacing w:val="-2"/>
                          </w:rPr>
                          <w:t xml:space="preserve"> (</w:t>
                        </w:r>
                        <w:r>
                          <w:t>print):</w:t>
                        </w:r>
                        <w:r>
                          <w:rPr>
                            <w:spacing w:val="-2"/>
                          </w:rPr>
                          <w:t xml:space="preserve"> </w:t>
                        </w:r>
                        <w:r>
                          <w:t>3026-9091, ISSN (online): 1597-9962</w:t>
                        </w:r>
                      </w:p>
                      <w:p w14:paraId="43897DFA">
                        <w:pPr>
                          <w:spacing w:before="40" w:line="235" w:lineRule="auto"/>
                          <w:ind w:left="-142" w:right="-164"/>
                          <w:jc w:val="center"/>
                        </w:pPr>
                        <w:r>
                          <w:rPr>
                            <w:w w:val="95"/>
                          </w:rPr>
                          <w:t>Volume</w:t>
                        </w:r>
                        <w:r>
                          <w:rPr>
                            <w:spacing w:val="-1"/>
                            <w:w w:val="95"/>
                          </w:rPr>
                          <w:t xml:space="preserve"> </w:t>
                        </w:r>
                        <w:r>
                          <w:rPr>
                            <w:w w:val="95"/>
                          </w:rPr>
                          <w:t>4(3)</w:t>
                        </w:r>
                        <w:r>
                          <w:rPr>
                            <w:spacing w:val="-3"/>
                            <w:w w:val="95"/>
                          </w:rPr>
                          <w:t xml:space="preserve"> </w:t>
                        </w:r>
                        <w:r>
                          <w:rPr>
                            <w:w w:val="95"/>
                          </w:rPr>
                          <w:t>May 2026</w:t>
                        </w:r>
                      </w:p>
                      <w:p w14:paraId="0CB2A5BB">
                        <w:pPr>
                          <w:jc w:val="center"/>
                        </w:pPr>
                        <w:r>
                          <w:t xml:space="preserve">DOI: </w:t>
                        </w:r>
                        <w:r>
                          <w:fldChar w:fldCharType="begin"/>
                        </w:r>
                        <w:r>
                          <w:instrText xml:space="preserve"> HYPERLINK "https://dx.doi.org/10.4314/jobasr.v4i3.283" </w:instrText>
                        </w:r>
                        <w:r>
                          <w:fldChar w:fldCharType="separate"/>
                        </w:r>
                        <w:r>
                          <w:rPr>
                            <w:rStyle w:val="25"/>
                            <w:rFonts w:eastAsia="Arial"/>
                          </w:rPr>
                          <w:t>https://dx.doi.org/10.4314/jobasr.v4i3.28</w:t>
                        </w:r>
                        <w:r>
                          <w:rPr>
                            <w:rStyle w:val="25"/>
                            <w:rFonts w:eastAsia="Arial"/>
                          </w:rPr>
                          <w:fldChar w:fldCharType="end"/>
                        </w:r>
                        <w:r>
                          <w:rPr>
                            <w:rFonts w:eastAsia="Arial"/>
                          </w:rPr>
                          <w:t xml:space="preserve"> </w:t>
                        </w:r>
                        <w:r>
                          <w:t xml:space="preserve"> </w:t>
                        </w:r>
                        <w:r>
                          <w:rPr>
                            <w:u w:color="0462C1"/>
                          </w:rPr>
                          <w:t xml:space="preserve">          </w:t>
                        </w:r>
                        <w:r>
                          <w:rPr>
                            <w:color w:val="0462C1"/>
                            <w:u w:val="single" w:color="0462C1"/>
                          </w:rPr>
                          <w:t xml:space="preserve"> </w:t>
                        </w:r>
                      </w:p>
                      <w:p w14:paraId="3C8CBC78"/>
                    </w:txbxContent>
                  </v:textbox>
                </v:shape>
              </v:group>
            </w:pict>
          </mc:Fallback>
        </mc:AlternateContent>
      </w:r>
    </w:p>
    <w:p w14:paraId="280C63A0">
      <w:pPr>
        <w:pStyle w:val="14"/>
        <w:ind w:left="554"/>
      </w:pPr>
    </w:p>
    <w:p w14:paraId="7E56C0C5">
      <w:pPr>
        <w:pStyle w:val="14"/>
        <w:ind w:left="554"/>
      </w:pPr>
    </w:p>
    <w:p w14:paraId="612E48FD">
      <w:pPr>
        <w:pStyle w:val="14"/>
        <w:ind w:left="554"/>
      </w:pPr>
    </w:p>
    <w:p w14:paraId="47B302D4">
      <w:pPr>
        <w:pStyle w:val="14"/>
        <w:ind w:left="554"/>
      </w:pPr>
    </w:p>
    <w:p w14:paraId="39804E97">
      <w:pPr>
        <w:pStyle w:val="14"/>
        <w:ind w:left="554"/>
      </w:pPr>
    </w:p>
    <w:p w14:paraId="0A53CCF4">
      <w:pPr>
        <w:pStyle w:val="14"/>
        <w:ind w:left="554"/>
      </w:pPr>
    </w:p>
    <w:p w14:paraId="4BEA54CD">
      <w:pPr>
        <w:pStyle w:val="14"/>
        <w:ind w:left="554"/>
      </w:pPr>
    </w:p>
    <w:p w14:paraId="77C42418">
      <w:pPr>
        <w:pStyle w:val="14"/>
        <w:spacing w:before="5"/>
        <w:rPr>
          <w:sz w:val="9"/>
        </w:rPr>
      </w:pPr>
      <w:r>
        <w:drawing>
          <wp:anchor distT="0" distB="0" distL="0" distR="0" simplePos="0" relativeHeight="251666432" behindDoc="0" locked="0" layoutInCell="1" allowOverlap="1">
            <wp:simplePos x="0" y="0"/>
            <wp:positionH relativeFrom="page">
              <wp:posOffset>6736080</wp:posOffset>
            </wp:positionH>
            <wp:positionV relativeFrom="paragraph">
              <wp:posOffset>33020</wp:posOffset>
            </wp:positionV>
            <wp:extent cx="325120" cy="32512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12" cstate="print"/>
                    <a:stretch>
                      <a:fillRect/>
                    </a:stretch>
                  </pic:blipFill>
                  <pic:spPr>
                    <a:xfrm>
                      <a:off x="0" y="0"/>
                      <a:ext cx="325120" cy="325120"/>
                    </a:xfrm>
                    <a:prstGeom prst="rect">
                      <a:avLst/>
                    </a:prstGeom>
                  </pic:spPr>
                </pic:pic>
              </a:graphicData>
            </a:graphic>
          </wp:anchor>
        </w:drawing>
      </w:r>
    </w:p>
    <w:p w14:paraId="15A9F0F7">
      <w:pPr>
        <w:ind w:left="720"/>
        <w:rPr>
          <w:b/>
          <w:bCs/>
        </w:rPr>
      </w:pPr>
      <w:bookmarkStart w:id="1" w:name="_Hlk200644267"/>
      <w:bookmarkStart w:id="2" w:name="_Hlk202372687"/>
      <w:bookmarkStart w:id="3" w:name="_Hlk202095173"/>
      <w:r>
        <w:rPr>
          <w:b/>
        </w:rPr>
        <w:t>Dye-sensitized Solar Cells: Recent Advances in Materials, Electron Transfer Mechanisms, Sensitizer Engineering, and Future Directions</w:t>
      </w:r>
      <w:bookmarkStart w:id="55" w:name="_GoBack"/>
      <w:bookmarkEnd w:id="55"/>
    </w:p>
    <w:bookmarkEnd w:id="1"/>
    <w:p w14:paraId="7104C73F">
      <w:pPr>
        <w:ind w:firstLine="720"/>
        <w:jc w:val="both"/>
        <w:rPr>
          <w:b/>
          <w:bCs/>
          <w:sz w:val="2"/>
          <w:szCs w:val="2"/>
        </w:rPr>
      </w:pPr>
      <w:r>
        <w:rPr>
          <w:b/>
          <w:bCs/>
        </w:rPr>
        <w:t xml:space="preserve"> </w:t>
      </w:r>
    </w:p>
    <w:p w14:paraId="11352094">
      <w:pPr>
        <w:ind w:left="720"/>
        <w:rPr>
          <w:b/>
          <w:bCs/>
          <w:sz w:val="14"/>
          <w:szCs w:val="14"/>
        </w:rPr>
      </w:pPr>
    </w:p>
    <w:bookmarkEnd w:id="2"/>
    <w:p w14:paraId="4FA16D6B">
      <w:pPr>
        <w:ind w:firstLine="720"/>
        <w:jc w:val="both"/>
        <w:rPr>
          <w:rFonts w:eastAsia="SimSun"/>
          <w:b/>
          <w:bCs/>
          <w:sz w:val="20"/>
          <w:szCs w:val="20"/>
          <w:vertAlign w:val="superscript"/>
        </w:rPr>
      </w:pPr>
      <w:bookmarkStart w:id="4" w:name="_Hlk202093271"/>
      <w:r>
        <w:rPr>
          <w:b/>
          <w:bCs/>
          <w:lang w:val="es-ES"/>
        </w:rPr>
        <w:t>A</w:t>
      </w:r>
      <w:r>
        <w:rPr>
          <w:b/>
          <w:bCs/>
          <w:sz w:val="20"/>
          <w:szCs w:val="20"/>
          <w:lang w:val="es-ES"/>
        </w:rPr>
        <w:t>lbashir Yasir</w:t>
      </w:r>
      <w:r>
        <w:rPr>
          <w:b/>
          <w:bCs/>
          <w:sz w:val="20"/>
          <w:szCs w:val="20"/>
          <w:vertAlign w:val="superscript"/>
        </w:rPr>
        <w:t>1</w:t>
      </w:r>
      <w:r>
        <w:rPr>
          <w:rFonts w:eastAsia="SimSun"/>
          <w:b/>
          <w:bCs/>
          <w:sz w:val="20"/>
          <w:szCs w:val="20"/>
          <w:vertAlign w:val="superscript"/>
        </w:rPr>
        <w:t>*</w:t>
      </w:r>
      <w:r>
        <w:rPr>
          <w:b/>
          <w:bCs/>
          <w:sz w:val="20"/>
          <w:szCs w:val="20"/>
          <w:lang w:val="es-ES"/>
        </w:rPr>
        <w:t>, Gumel S. M.</w:t>
      </w:r>
      <w:r>
        <w:rPr>
          <w:rFonts w:eastAsia="SimSun"/>
          <w:b/>
          <w:bCs/>
          <w:sz w:val="20"/>
          <w:szCs w:val="20"/>
          <w:vertAlign w:val="superscript"/>
        </w:rPr>
        <w:t>2</w:t>
      </w:r>
      <w:r>
        <w:rPr>
          <w:b/>
          <w:bCs/>
          <w:sz w:val="20"/>
          <w:szCs w:val="20"/>
          <w:lang w:val="es-ES"/>
        </w:rPr>
        <w:t>, Sule Erten Ela</w:t>
      </w:r>
      <w:r>
        <w:rPr>
          <w:rFonts w:eastAsia="SimSun"/>
          <w:b/>
          <w:bCs/>
          <w:sz w:val="20"/>
          <w:szCs w:val="20"/>
          <w:vertAlign w:val="superscript"/>
        </w:rPr>
        <w:t>3</w:t>
      </w:r>
      <w:r>
        <w:rPr>
          <w:b/>
          <w:bCs/>
          <w:sz w:val="20"/>
          <w:szCs w:val="20"/>
          <w:lang w:val="es-ES"/>
        </w:rPr>
        <w:t>, Mansur B Ibrahim</w:t>
      </w:r>
      <w:r>
        <w:rPr>
          <w:rFonts w:eastAsia="SimSun"/>
          <w:b/>
          <w:bCs/>
          <w:sz w:val="20"/>
          <w:szCs w:val="20"/>
          <w:vertAlign w:val="superscript"/>
        </w:rPr>
        <w:t>4</w:t>
      </w:r>
      <w:r>
        <w:rPr>
          <w:b/>
          <w:bCs/>
          <w:sz w:val="20"/>
          <w:szCs w:val="20"/>
          <w:lang w:val="es-ES"/>
        </w:rPr>
        <w:t>, Magaji Ladan</w:t>
      </w:r>
      <w:r>
        <w:rPr>
          <w:b/>
          <w:bCs/>
          <w:sz w:val="20"/>
          <w:szCs w:val="20"/>
          <w:vertAlign w:val="superscript"/>
          <w:lang w:val="es-ES"/>
        </w:rPr>
        <w:t>5</w:t>
      </w:r>
      <w:r>
        <w:rPr>
          <w:b/>
          <w:bCs/>
          <w:sz w:val="20"/>
          <w:szCs w:val="20"/>
          <w:lang w:val="es-ES"/>
        </w:rPr>
        <w:t xml:space="preserve"> &amp; Hauwa Yahaya Umar</w:t>
      </w:r>
      <w:r>
        <w:rPr>
          <w:rFonts w:eastAsia="SimSun"/>
          <w:b/>
          <w:bCs/>
          <w:sz w:val="20"/>
          <w:szCs w:val="20"/>
          <w:vertAlign w:val="superscript"/>
        </w:rPr>
        <w:t>6</w:t>
      </w:r>
    </w:p>
    <w:p w14:paraId="0B5B6C29">
      <w:pPr>
        <w:rPr>
          <w:b/>
          <w:bCs/>
          <w:sz w:val="20"/>
          <w:szCs w:val="20"/>
        </w:rPr>
      </w:pPr>
      <w:r>
        <w:rPr>
          <w:b/>
          <w:bCs/>
          <w:sz w:val="20"/>
          <w:szCs w:val="20"/>
          <w:vertAlign w:val="superscript"/>
        </w:rPr>
        <w:tab/>
      </w:r>
      <w:r>
        <w:rPr>
          <w:b/>
          <w:bCs/>
          <w:sz w:val="20"/>
          <w:szCs w:val="20"/>
          <w:vertAlign w:val="superscript"/>
        </w:rPr>
        <w:t>1,6</w:t>
      </w:r>
      <w:r>
        <w:rPr>
          <w:b/>
          <w:bCs/>
          <w:sz w:val="20"/>
          <w:szCs w:val="20"/>
        </w:rPr>
        <w:t>Department of Pure and Industrial Chemistry, Bayero University Kano, Nigeria.</w:t>
      </w:r>
    </w:p>
    <w:p w14:paraId="4D5109BB">
      <w:pPr>
        <w:rPr>
          <w:b/>
          <w:bCs/>
          <w:sz w:val="20"/>
          <w:szCs w:val="20"/>
        </w:rPr>
      </w:pPr>
      <w:r>
        <w:rPr>
          <w:b/>
          <w:bCs/>
          <w:sz w:val="20"/>
          <w:szCs w:val="20"/>
          <w:vertAlign w:val="superscript"/>
        </w:rPr>
        <w:tab/>
      </w:r>
      <w:r>
        <w:rPr>
          <w:b/>
          <w:bCs/>
          <w:sz w:val="20"/>
          <w:szCs w:val="20"/>
          <w:vertAlign w:val="superscript"/>
        </w:rPr>
        <w:t>1,2,4,5</w:t>
      </w:r>
      <w:r>
        <w:rPr>
          <w:b/>
          <w:bCs/>
          <w:sz w:val="20"/>
          <w:szCs w:val="20"/>
        </w:rPr>
        <w:t>Department of Industrial Chemistry, Federal University Dutsinma. Nigeria.</w:t>
      </w:r>
    </w:p>
    <w:p w14:paraId="38EF248C">
      <w:pPr>
        <w:rPr>
          <w:b/>
          <w:bCs/>
          <w:sz w:val="20"/>
          <w:szCs w:val="20"/>
        </w:rPr>
      </w:pPr>
      <w:r>
        <w:rPr>
          <w:b/>
          <w:bCs/>
          <w:sz w:val="20"/>
          <w:szCs w:val="20"/>
          <w:vertAlign w:val="superscript"/>
        </w:rPr>
        <w:tab/>
      </w:r>
      <w:r>
        <w:rPr>
          <w:b/>
          <w:bCs/>
          <w:sz w:val="20"/>
          <w:szCs w:val="20"/>
          <w:vertAlign w:val="superscript"/>
        </w:rPr>
        <w:t>1,3,6</w:t>
      </w:r>
      <w:r>
        <w:rPr>
          <w:b/>
          <w:bCs/>
          <w:sz w:val="20"/>
          <w:szCs w:val="20"/>
        </w:rPr>
        <w:t>Ege University, Solar Energy Institute, Bornova, 35100 Izmir, Turkey</w:t>
      </w:r>
    </w:p>
    <w:p w14:paraId="0516269A">
      <w:pPr>
        <w:pStyle w:val="57"/>
        <w:ind w:firstLine="720"/>
        <w:jc w:val="both"/>
        <w:rPr>
          <w:b/>
          <w:bCs/>
          <w:sz w:val="20"/>
          <w:szCs w:val="20"/>
        </w:rPr>
      </w:pPr>
      <w:r>
        <w:rPr>
          <w:b/>
          <w:bCs/>
          <w:sz w:val="20"/>
          <w:szCs w:val="20"/>
          <w:vertAlign w:val="superscript"/>
        </w:rPr>
        <w:t>4,6</w:t>
      </w:r>
      <w:r>
        <w:rPr>
          <w:b/>
          <w:bCs/>
          <w:sz w:val="20"/>
          <w:szCs w:val="20"/>
        </w:rPr>
        <w:t>Department of Chemistry, College of Education (T), Gombe.</w:t>
      </w:r>
    </w:p>
    <w:p w14:paraId="706A0A59">
      <w:pPr>
        <w:pStyle w:val="57"/>
        <w:ind w:firstLine="720"/>
        <w:jc w:val="both"/>
      </w:pPr>
      <w:r>
        <w:rPr>
          <w:rFonts w:eastAsia="SimSun"/>
          <w:b/>
          <w:bCs/>
          <w:sz w:val="20"/>
          <w:szCs w:val="20"/>
          <w:vertAlign w:val="superscript"/>
        </w:rPr>
        <w:t>*</w:t>
      </w:r>
      <w:r>
        <w:rPr>
          <w:sz w:val="20"/>
          <w:szCs w:val="20"/>
        </w:rPr>
        <w:t>Corresponding</w:t>
      </w:r>
      <w:r>
        <w:rPr>
          <w:spacing w:val="-2"/>
          <w:sz w:val="20"/>
          <w:szCs w:val="20"/>
        </w:rPr>
        <w:t xml:space="preserve"> </w:t>
      </w:r>
      <w:r>
        <w:rPr>
          <w:sz w:val="20"/>
          <w:szCs w:val="20"/>
        </w:rPr>
        <w:t>Author</w:t>
      </w:r>
      <w:r>
        <w:rPr>
          <w:spacing w:val="-3"/>
          <w:sz w:val="20"/>
          <w:szCs w:val="20"/>
        </w:rPr>
        <w:t xml:space="preserve"> </w:t>
      </w:r>
      <w:r>
        <w:rPr>
          <w:sz w:val="20"/>
          <w:szCs w:val="20"/>
        </w:rPr>
        <w:t>Email:</w:t>
      </w:r>
      <w:r>
        <w:rPr>
          <w:color w:val="EE0000"/>
          <w:sz w:val="20"/>
          <w:szCs w:val="20"/>
        </w:rPr>
        <w:t xml:space="preserve"> </w:t>
      </w:r>
      <w:r>
        <w:fldChar w:fldCharType="begin"/>
      </w:r>
      <w:r>
        <w:instrText xml:space="preserve"> HYPERLINK "mailto:ayasir@fudutsinma.edu.ng" </w:instrText>
      </w:r>
      <w:r>
        <w:fldChar w:fldCharType="separate"/>
      </w:r>
      <w:r>
        <w:rPr>
          <w:rStyle w:val="25"/>
          <w:rFonts w:eastAsiaTheme="majorEastAsia"/>
          <w:sz w:val="20"/>
          <w:szCs w:val="20"/>
        </w:rPr>
        <w:t>ayasir@fudutsinma.edu.ng</w:t>
      </w:r>
      <w:r>
        <w:rPr>
          <w:rStyle w:val="25"/>
          <w:rFonts w:eastAsiaTheme="majorEastAsia"/>
          <w:sz w:val="20"/>
          <w:szCs w:val="20"/>
        </w:rPr>
        <w:fldChar w:fldCharType="end"/>
      </w:r>
      <w:r>
        <w:t xml:space="preserve"> </w:t>
      </w:r>
    </w:p>
    <w:p w14:paraId="09561C7A">
      <w:pPr>
        <w:pStyle w:val="57"/>
        <w:ind w:firstLine="720"/>
        <w:jc w:val="both"/>
        <w:rPr>
          <w:color w:val="EE0000"/>
          <w:sz w:val="4"/>
          <w:szCs w:val="4"/>
        </w:rPr>
      </w:pPr>
    </w:p>
    <w:bookmarkEnd w:id="3"/>
    <w:bookmarkEnd w:id="4"/>
    <w:p w14:paraId="2BF981A2">
      <w:pPr>
        <w:pStyle w:val="14"/>
        <w:spacing w:line="20" w:lineRule="exact"/>
        <w:ind w:left="943"/>
        <w:rPr>
          <w:sz w:val="2"/>
        </w:rPr>
      </w:pPr>
      <w:r>
        <w:rPr>
          <w:sz w:val="2"/>
        </w:rPr>
        <mc:AlternateContent>
          <mc:Choice Requires="wpg">
            <w:drawing>
              <wp:inline distT="0" distB="0" distL="0" distR="0">
                <wp:extent cx="5939790" cy="9525"/>
                <wp:effectExtent l="5080" t="5080" r="8255" b="4445"/>
                <wp:docPr id="594295145" name="Group 3"/>
                <wp:cNvGraphicFramePr/>
                <a:graphic xmlns:a="http://schemas.openxmlformats.org/drawingml/2006/main">
                  <a:graphicData uri="http://schemas.microsoft.com/office/word/2010/wordprocessingGroup">
                    <wpg:wgp>
                      <wpg:cNvGrpSpPr/>
                      <wpg:grpSpPr>
                        <a:xfrm>
                          <a:off x="0" y="0"/>
                          <a:ext cx="5939790" cy="9525"/>
                          <a:chOff x="0" y="0"/>
                          <a:chExt cx="9354" cy="15"/>
                        </a:xfrm>
                      </wpg:grpSpPr>
                      <wps:wsp>
                        <wps:cNvPr id="2034325196" name="Line 5"/>
                        <wps:cNvCnPr>
                          <a:cxnSpLocks noChangeShapeType="1"/>
                        </wps:cNvCnPr>
                        <wps:spPr bwMode="auto">
                          <a:xfrm>
                            <a:off x="0" y="8"/>
                            <a:ext cx="9354" cy="0"/>
                          </a:xfrm>
                          <a:prstGeom prst="line">
                            <a:avLst/>
                          </a:prstGeom>
                          <a:noFill/>
                          <a:ln w="9525">
                            <a:solidFill>
                              <a:srgbClr val="000000"/>
                            </a:solidFill>
                            <a:round/>
                          </a:ln>
                        </wps:spPr>
                        <wps:bodyPr/>
                      </wps:wsp>
                    </wpg:wgp>
                  </a:graphicData>
                </a:graphic>
              </wp:inline>
            </w:drawing>
          </mc:Choice>
          <mc:Fallback>
            <w:pict>
              <v:group id="Group 3" o:spid="_x0000_s1026" o:spt="203" style="height:0.75pt;width:467.7pt;" coordsize="9354,15" o:gfxdata="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FQCV9QAAAADAQAADwAAAAAAAAABACAAAAAiAAAAZHJzL2Rvd25yZXYueG1sUEsB&#10;AhQAFAAAAAgAh07iQMgSHoYyAgAA0gQAAA4AAAAAAAAAAQAgAAAAIwEAAGRycy9lMm9Eb2MueG1s&#10;UEsFBgAAAAAGAAYAWQEAAMcFAAAAAA==&#10;">
                <o:lock v:ext="edit" aspectratio="f"/>
                <v:line id="Line 5" o:spid="_x0000_s1026" o:spt="20" style="position:absolute;left:0;top:8;height:0;width:9354;" filled="f" stroked="t" coordsize="21600,21600" o:gfxdata="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Z45C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w10:wrap type="none"/>
                <w10:anchorlock/>
              </v:group>
            </w:pict>
          </mc:Fallback>
        </mc:AlternateContent>
      </w:r>
    </w:p>
    <w:p w14:paraId="1DEEF7D9">
      <w:pPr>
        <w:spacing w:line="20" w:lineRule="exact"/>
        <w:rPr>
          <w:sz w:val="2"/>
        </w:rPr>
        <w:sectPr>
          <w:pgSz w:w="12240" w:h="15840"/>
          <w:pgMar w:top="520" w:right="1020" w:bottom="0" w:left="520" w:header="720" w:footer="720" w:gutter="0"/>
          <w:cols w:space="720" w:num="1"/>
        </w:sectPr>
      </w:pPr>
    </w:p>
    <w:p w14:paraId="73A70B0F">
      <w:pPr>
        <w:pStyle w:val="14"/>
        <w:rPr>
          <w:sz w:val="22"/>
        </w:rPr>
      </w:pPr>
    </w:p>
    <w:p w14:paraId="7B0BB0ED">
      <w:pPr>
        <w:pStyle w:val="14"/>
        <w:spacing w:before="1"/>
        <w:ind w:left="720" w:right="-466"/>
        <w:rPr>
          <w:b/>
        </w:rPr>
      </w:pPr>
    </w:p>
    <w:p w14:paraId="2E964CB7">
      <w:pPr>
        <w:pStyle w:val="14"/>
        <w:spacing w:before="1"/>
        <w:ind w:left="720" w:right="-466"/>
        <w:rPr>
          <w:b/>
        </w:rPr>
      </w:pPr>
      <w:r>
        <w:rPr>
          <w:b/>
        </w:rPr>
        <w:t xml:space="preserve">   </w:t>
      </w:r>
    </w:p>
    <w:p w14:paraId="2E7075AA">
      <w:pPr>
        <w:pStyle w:val="14"/>
        <w:spacing w:before="1"/>
        <w:ind w:left="720" w:right="-466"/>
        <w:rPr>
          <w:b/>
        </w:rPr>
      </w:pPr>
    </w:p>
    <w:p w14:paraId="6E8AB4B6">
      <w:pPr>
        <w:pStyle w:val="14"/>
        <w:spacing w:before="1"/>
        <w:ind w:left="720" w:right="-466"/>
        <w:rPr>
          <w:b/>
        </w:rPr>
      </w:pPr>
    </w:p>
    <w:p w14:paraId="77889E4F">
      <w:pPr>
        <w:pStyle w:val="14"/>
        <w:spacing w:before="1"/>
        <w:ind w:left="720" w:right="-466"/>
        <w:rPr>
          <w:b/>
        </w:rPr>
      </w:pPr>
      <w:r>
        <w:rPr>
          <w:b/>
        </w:rPr>
        <w:t xml:space="preserve"> </w:t>
      </w:r>
    </w:p>
    <w:p w14:paraId="1CD0B0AC">
      <w:pPr>
        <w:pStyle w:val="14"/>
        <w:spacing w:before="1"/>
        <w:ind w:left="720" w:right="-466"/>
        <w:rPr>
          <w:b/>
          <w:spacing w:val="1"/>
        </w:rPr>
      </w:pPr>
      <w:r>
        <w:rPr>
          <w:b/>
        </w:rPr>
        <w:t xml:space="preserve">    Keywords:</w:t>
      </w:r>
      <w:r>
        <w:rPr>
          <w:b/>
          <w:spacing w:val="1"/>
        </w:rPr>
        <w:t xml:space="preserve"> </w:t>
      </w:r>
    </w:p>
    <w:p w14:paraId="56FE347B">
      <w:pPr>
        <w:pStyle w:val="14"/>
        <w:spacing w:before="1"/>
        <w:ind w:left="720" w:right="-466"/>
      </w:pPr>
      <w:r>
        <w:t xml:space="preserve">    Dye-sensitized solar </w:t>
      </w:r>
    </w:p>
    <w:p w14:paraId="488E5F38">
      <w:pPr>
        <w:pStyle w:val="14"/>
        <w:spacing w:before="1"/>
        <w:ind w:left="720" w:right="-466"/>
      </w:pPr>
      <w:r>
        <w:t xml:space="preserve">    Cells </w:t>
      </w:r>
    </w:p>
    <w:p w14:paraId="2190E579">
      <w:pPr>
        <w:pStyle w:val="14"/>
        <w:spacing w:before="1"/>
        <w:ind w:left="720" w:right="-466"/>
      </w:pPr>
      <w:r>
        <w:t xml:space="preserve">    (DSSCs); </w:t>
      </w:r>
    </w:p>
    <w:p w14:paraId="2651AB76">
      <w:pPr>
        <w:pStyle w:val="14"/>
        <w:spacing w:before="1"/>
        <w:ind w:left="720" w:right="-466"/>
      </w:pPr>
      <w:r>
        <w:t xml:space="preserve">    photosensitizers; </w:t>
      </w:r>
    </w:p>
    <w:p w14:paraId="54EE3DEA">
      <w:pPr>
        <w:pStyle w:val="14"/>
        <w:spacing w:before="1"/>
        <w:ind w:left="720" w:right="-466"/>
      </w:pPr>
      <w:r>
        <w:t xml:space="preserve">    Ruthenium complexes; </w:t>
      </w:r>
    </w:p>
    <w:p w14:paraId="19BD1C85">
      <w:pPr>
        <w:pStyle w:val="14"/>
        <w:spacing w:before="1"/>
        <w:ind w:left="720" w:right="-466"/>
      </w:pPr>
      <w:r>
        <w:t xml:space="preserve">    Metal-free organic </w:t>
      </w:r>
    </w:p>
    <w:p w14:paraId="0DE42F5A">
      <w:pPr>
        <w:pStyle w:val="14"/>
        <w:spacing w:before="1"/>
        <w:ind w:left="720" w:right="-466"/>
      </w:pPr>
      <w:r>
        <w:t xml:space="preserve">    Dyes; D–π–A </w:t>
      </w:r>
    </w:p>
    <w:p w14:paraId="3C648CFA">
      <w:pPr>
        <w:pStyle w:val="14"/>
        <w:spacing w:before="1"/>
        <w:ind w:left="720" w:right="-466"/>
      </w:pPr>
      <w:r>
        <w:t xml:space="preserve">    Sensitizers; TiO₂ </w:t>
      </w:r>
    </w:p>
    <w:p w14:paraId="3F4E93BB">
      <w:pPr>
        <w:pStyle w:val="14"/>
        <w:spacing w:before="1"/>
        <w:ind w:left="720" w:right="-466"/>
      </w:pPr>
      <w:r>
        <w:t xml:space="preserve">    Photoanodes; </w:t>
      </w:r>
    </w:p>
    <w:p w14:paraId="1EDDAA6A">
      <w:pPr>
        <w:pStyle w:val="14"/>
        <w:spacing w:before="1"/>
        <w:ind w:left="720" w:right="-466"/>
      </w:pPr>
      <w:r>
        <w:t xml:space="preserve">    Charge recombination; </w:t>
      </w:r>
    </w:p>
    <w:p w14:paraId="43F8EBFC">
      <w:pPr>
        <w:pStyle w:val="14"/>
        <w:spacing w:before="1"/>
        <w:ind w:left="720" w:right="-466"/>
      </w:pPr>
      <w:r>
        <w:t xml:space="preserve">    Molecular engineering; </w:t>
      </w:r>
    </w:p>
    <w:p w14:paraId="57EB2FFC">
      <w:pPr>
        <w:pStyle w:val="14"/>
        <w:spacing w:before="1"/>
        <w:ind w:left="720" w:right="-466"/>
      </w:pPr>
      <w:r>
        <w:t xml:space="preserve">    TD-DFT. </w:t>
      </w:r>
      <w:r>
        <w:br w:type="column"/>
      </w:r>
    </w:p>
    <w:p w14:paraId="10C7E62D">
      <w:pPr>
        <w:pStyle w:val="14"/>
        <w:spacing w:before="1"/>
        <w:ind w:left="720" w:right="-466" w:hanging="720"/>
      </w:pPr>
      <w:r>
        <w:rPr>
          <w:b/>
        </w:rPr>
        <w:t>ABSTRACT</w:t>
      </w:r>
    </w:p>
    <w:p w14:paraId="6590CEE2">
      <w:pPr>
        <w:jc w:val="both"/>
        <w:rPr>
          <w:sz w:val="20"/>
          <w:szCs w:val="20"/>
        </w:rPr>
      </w:pPr>
      <w:bookmarkStart w:id="5" w:name="_Hlk208695945"/>
      <w:r>
        <w:rPr>
          <w:sz w:val="20"/>
          <w:szCs w:val="20"/>
        </w:rPr>
        <w:t>Dye-sensitized solar cells (DSSCs) have attracted considerable attention as low-cost, solution-processable photovoltaic devices in which a photosensitizer adsorbed on a wide-band-gap semiconductor harvests sunlight and injects electrons into the semiconductor conduction band. The performance of a DSSC is therefore strongly governed by the optical absorption, energy-level alignment, electron-injection kinetics, regeneration efficiency, and stability of the sensitizer. This review summarizes recent advances in both metal-based and metal-free sensitizers for DSSCs, with emphasis on ruthenium polypyridyl complexes and organic donor–π–acceptor (D–π–A) dyes. The roles of anchoring groups, π-conjugated spacers, donor/acceptor engineering, aggregation suppression, and co-sensitization strategies are discussed in relation to photocurrent generation, open-circuit voltage, charge recombination, and overall power-conversion efficiency. The review also highlights the use of computational approaches, particularly time-dependent density functional theory (TD-DFT), to guide the rational design of next-generation sensitizers. Finally, key challenges and opportunities for improving efficiency, long-term stability, sustainability, and scalability of DSSC sensitizers are outlined.</w:t>
      </w:r>
    </w:p>
    <w:bookmarkEnd w:id="5"/>
    <w:p w14:paraId="494D3251">
      <w:pPr>
        <w:jc w:val="both"/>
        <w:rPr>
          <w:sz w:val="20"/>
          <w:szCs w:val="20"/>
        </w:rPr>
      </w:pPr>
    </w:p>
    <w:p w14:paraId="39082492">
      <w:pPr>
        <w:pStyle w:val="57"/>
        <w:jc w:val="both"/>
        <w:rPr>
          <w:sz w:val="20"/>
          <w:szCs w:val="20"/>
        </w:rPr>
        <w:sectPr>
          <w:type w:val="continuous"/>
          <w:pgSz w:w="12240" w:h="15840"/>
          <w:pgMar w:top="520" w:right="1467" w:bottom="0" w:left="520" w:header="720" w:footer="720" w:gutter="0"/>
          <w:cols w:equalWidth="0" w:num="2">
            <w:col w:w="2457" w:space="1418"/>
            <w:col w:w="6378"/>
          </w:cols>
        </w:sectPr>
      </w:pPr>
    </w:p>
    <w:p w14:paraId="086FC4B1">
      <w:pPr>
        <w:pStyle w:val="14"/>
        <w:tabs>
          <w:tab w:val="left" w:pos="5910"/>
        </w:tabs>
        <w:rPr>
          <w:sz w:val="2"/>
        </w:rPr>
      </w:pPr>
    </w:p>
    <w:p w14:paraId="42D97100">
      <w:pPr>
        <w:pStyle w:val="14"/>
        <w:spacing w:line="20" w:lineRule="exact"/>
        <w:ind w:left="910"/>
        <w:rPr>
          <w:sz w:val="2"/>
        </w:rPr>
        <w:sectPr>
          <w:type w:val="continuous"/>
          <w:pgSz w:w="12240" w:h="15840"/>
          <w:pgMar w:top="520" w:right="1020" w:bottom="0" w:left="520" w:header="720" w:footer="720" w:gutter="0"/>
          <w:cols w:space="720" w:num="1"/>
        </w:sectPr>
      </w:pPr>
      <w:r>
        <w:rPr>
          <w:sz w:val="2"/>
        </w:rPr>
        <mc:AlternateContent>
          <mc:Choice Requires="wpg">
            <w:drawing>
              <wp:inline distT="0" distB="0" distL="0" distR="0">
                <wp:extent cx="5939790" cy="9525"/>
                <wp:effectExtent l="12700" t="9525" r="10160" b="0"/>
                <wp:docPr id="559430193" name="Group 2"/>
                <wp:cNvGraphicFramePr/>
                <a:graphic xmlns:a="http://schemas.openxmlformats.org/drawingml/2006/main">
                  <a:graphicData uri="http://schemas.microsoft.com/office/word/2010/wordprocessingGroup">
                    <wpg:wgp>
                      <wpg:cNvGrpSpPr/>
                      <wpg:grpSpPr>
                        <a:xfrm>
                          <a:off x="0" y="0"/>
                          <a:ext cx="5939790" cy="9525"/>
                          <a:chOff x="0" y="0"/>
                          <a:chExt cx="9354" cy="15"/>
                        </a:xfrm>
                      </wpg:grpSpPr>
                      <wps:wsp>
                        <wps:cNvPr id="580020001" name="Line 3"/>
                        <wps:cNvCnPr>
                          <a:cxnSpLocks noChangeShapeType="1"/>
                        </wps:cNvCnPr>
                        <wps:spPr bwMode="auto">
                          <a:xfrm>
                            <a:off x="0" y="7"/>
                            <a:ext cx="9354" cy="0"/>
                          </a:xfrm>
                          <a:prstGeom prst="line">
                            <a:avLst/>
                          </a:prstGeom>
                          <a:noFill/>
                          <a:ln w="9525">
                            <a:solidFill>
                              <a:srgbClr val="000000"/>
                            </a:solidFill>
                            <a:round/>
                          </a:ln>
                        </wps:spPr>
                        <wps:bodyPr/>
                      </wps:wsp>
                    </wpg:wgp>
                  </a:graphicData>
                </a:graphic>
              </wp:inline>
            </w:drawing>
          </mc:Choice>
          <mc:Fallback>
            <w:pict>
              <v:group id="Group 2" o:spid="_x0000_s1026" o:spt="203" style="height:0.75pt;width:467.7pt;" coordsize="9354,15" o:gfxdata="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0VAJX1AAAAAMBAAAPAAAAAAAAAAEAIAAAACIAAABkcnMvZG93bnJldi54bWxQSwECFAAU&#10;AAAACACHTuJAN5Ntsi4CAADRBAAADgAAAAAAAAABACAAAAAjAQAAZHJzL2Uyb0RvYy54bWxQSwUG&#10;AAAAAAYABgBZAQAAwwUAAAAA&#10;">
                <o:lock v:ext="edit" aspectratio="f"/>
                <v:line id="Line 3" o:spid="_x0000_s1026" o:spt="20" style="position:absolute;left:0;top:7;height:0;width:9354;" filled="f" stroked="t" coordsize="21600,21600" o:gfxdata="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bs94&#10;wAAAAOIAAAAPAAAAAAAAAAEAIAAAACIAAABkcnMvZG93bnJldi54bWxQSwECFAAUAAAACACHTuJA&#10;My8FnjsAAAA5AAAAEAAAAAAAAAABACAAAAAPAQAAZHJzL3NoYXBleG1sLnhtbFBLBQYAAAAABgAG&#10;AFsBAAC5AwAAAAA=&#10;">
                  <v:fill on="f" focussize="0,0"/>
                  <v:stroke color="#000000" joinstyle="round"/>
                  <v:imagedata o:title=""/>
                  <o:lock v:ext="edit" aspectratio="f"/>
                </v:line>
                <w10:wrap type="none"/>
                <w10:anchorlock/>
              </v:group>
            </w:pict>
          </mc:Fallback>
        </mc:AlternateContent>
      </w:r>
    </w:p>
    <w:p w14:paraId="2AD0D768">
      <w:pPr>
        <w:pStyle w:val="14"/>
        <w:spacing w:before="17"/>
        <w:jc w:val="both"/>
        <w:rPr>
          <w:sz w:val="6"/>
          <w:szCs w:val="10"/>
        </w:rPr>
        <w:sectPr>
          <w:type w:val="continuous"/>
          <w:pgSz w:w="12240" w:h="15840"/>
          <w:pgMar w:top="1440" w:right="1440" w:bottom="1440" w:left="1440" w:header="720" w:footer="720" w:gutter="0"/>
          <w:cols w:equalWidth="0" w:num="2">
            <w:col w:w="3888" w:space="0"/>
            <w:col w:w="5472"/>
          </w:cols>
          <w:docGrid w:linePitch="299" w:charSpace="0"/>
        </w:sectPr>
      </w:pPr>
    </w:p>
    <w:p w14:paraId="75701B8C">
      <w:pPr>
        <w:jc w:val="both"/>
        <w:rPr>
          <w:b/>
          <w:sz w:val="20"/>
          <w:szCs w:val="20"/>
        </w:rPr>
      </w:pPr>
      <w:r>
        <w:rPr>
          <w:b/>
          <w:sz w:val="20"/>
          <w:szCs w:val="20"/>
        </w:rPr>
        <w:t>INTRODUCTION</w:t>
      </w:r>
    </w:p>
    <w:p w14:paraId="63CECDA9">
      <w:pPr>
        <w:pStyle w:val="2"/>
        <w:spacing w:before="0"/>
        <w:jc w:val="both"/>
        <w:rPr>
          <w:rFonts w:ascii="Times New Roman" w:hAnsi="Times New Roman" w:cs="Times New Roman"/>
          <w:color w:val="auto"/>
          <w:sz w:val="20"/>
          <w:szCs w:val="20"/>
        </w:rPr>
      </w:pPr>
      <w:bookmarkStart w:id="6" w:name="_Toc177051971"/>
      <w:r>
        <w:rPr>
          <w:rFonts w:ascii="Times New Roman" w:hAnsi="Times New Roman" w:cs="Times New Roman"/>
          <w:color w:val="auto"/>
          <w:sz w:val="20"/>
          <w:szCs w:val="20"/>
        </w:rPr>
        <w:t>Energy Demand and Solar Light</w:t>
      </w:r>
      <w:bookmarkEnd w:id="6"/>
    </w:p>
    <w:p w14:paraId="0FB4C5EE">
      <w:pPr>
        <w:jc w:val="both"/>
        <w:rPr>
          <w:sz w:val="20"/>
          <w:szCs w:val="20"/>
        </w:rPr>
      </w:pPr>
      <w:r>
        <w:rPr>
          <w:sz w:val="20"/>
          <w:szCs w:val="20"/>
        </w:rPr>
        <w:t xml:space="preserve">It is generally believed that among the challenges mankind is facing is the security of future energy supply, especially now that the global demand is increasing due to the rapid increase of human population and developments of the society (Chu and Majumdar, 2012; Olsson, 2015). The world power consumption is now over 13 tera watts (TW) and has been estimated to reach above 27 TW in 2050 (Gur, 2024). The International Energy Agency (IEA) predicts that the electricity that will be generated based on renewable sources between 2019 to 2025 will increase by 50% (Newell </w:t>
      </w:r>
      <w:r>
        <w:rPr>
          <w:i/>
          <w:sz w:val="20"/>
          <w:szCs w:val="20"/>
        </w:rPr>
        <w:t>et al.,</w:t>
      </w:r>
      <w:r>
        <w:rPr>
          <w:sz w:val="20"/>
          <w:szCs w:val="20"/>
        </w:rPr>
        <w:t xml:space="preserve"> 2020).</w:t>
      </w:r>
    </w:p>
    <w:p w14:paraId="245FB4BB">
      <w:pPr>
        <w:jc w:val="both"/>
        <w:rPr>
          <w:sz w:val="20"/>
          <w:szCs w:val="20"/>
        </w:rPr>
      </w:pPr>
      <w: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ragraph">
                  <wp:posOffset>1114425</wp:posOffset>
                </wp:positionV>
                <wp:extent cx="7762240" cy="822960"/>
                <wp:effectExtent l="0" t="0" r="10160" b="0"/>
                <wp:wrapNone/>
                <wp:docPr id="496552827" name="Group 23"/>
                <wp:cNvGraphicFramePr/>
                <a:graphic xmlns:a="http://schemas.openxmlformats.org/drawingml/2006/main">
                  <a:graphicData uri="http://schemas.microsoft.com/office/word/2010/wordprocessingGroup">
                    <wpg:wgp>
                      <wpg:cNvGrpSpPr/>
                      <wpg:grpSpPr>
                        <a:xfrm>
                          <a:off x="0" y="0"/>
                          <a:ext cx="7762240" cy="822960"/>
                          <a:chOff x="0" y="-51643"/>
                          <a:chExt cx="7762240" cy="743664"/>
                        </a:xfrm>
                      </wpg:grpSpPr>
                      <wpg:grpSp>
                        <wpg:cNvPr id="599053534" name="Group 21"/>
                        <wpg:cNvGrpSpPr/>
                        <wpg:grpSpPr>
                          <a:xfrm>
                            <a:off x="0" y="12700"/>
                            <a:ext cx="7762240" cy="286385"/>
                            <a:chOff x="-8" y="14753"/>
                            <a:chExt cx="12224" cy="355"/>
                          </a:xfrm>
                        </wpg:grpSpPr>
                        <wps:wsp>
                          <wps:cNvPr id="681581152" name="Freeform 66"/>
                          <wps:cNvSpPr/>
                          <wps:spPr bwMode="auto">
                            <a:xfrm>
                              <a:off x="10792" y="14760"/>
                              <a:ext cx="1417" cy="340"/>
                            </a:xfrm>
                            <a:custGeom>
                              <a:avLst/>
                              <a:gdLst>
                                <a:gd name="T0" fmla="+- 0 12209 10792"/>
                                <a:gd name="T1" fmla="*/ T0 w 1417"/>
                                <a:gd name="T2" fmla="+- 0 14760 14760"/>
                                <a:gd name="T3" fmla="*/ 14760 h 340"/>
                                <a:gd name="T4" fmla="+- 0 11401 10792"/>
                                <a:gd name="T5" fmla="*/ T4 w 1417"/>
                                <a:gd name="T6" fmla="+- 0 14760 14760"/>
                                <a:gd name="T7" fmla="*/ 14760 h 340"/>
                                <a:gd name="T8" fmla="+- 0 11401 10792"/>
                                <a:gd name="T9" fmla="*/ T8 w 1417"/>
                                <a:gd name="T10" fmla="+- 0 15100 14760"/>
                                <a:gd name="T11" fmla="*/ 15100 h 340"/>
                                <a:gd name="T12" fmla="+- 0 10792 10792"/>
                                <a:gd name="T13" fmla="*/ T12 w 1417"/>
                                <a:gd name="T14" fmla="+- 0 15100 14760"/>
                                <a:gd name="T15" fmla="*/ 15100 h 340"/>
                              </a:gdLst>
                              <a:ahLst/>
                              <a:cxnLst>
                                <a:cxn ang="0">
                                  <a:pos x="T1" y="T3"/>
                                </a:cxn>
                                <a:cxn ang="0">
                                  <a:pos x="T5" y="T7"/>
                                </a:cxn>
                                <a:cxn ang="0">
                                  <a:pos x="T9" y="T11"/>
                                </a:cxn>
                                <a:cxn ang="0">
                                  <a:pos x="T13" y="T15"/>
                                </a:cxn>
                              </a:cxnLst>
                              <a:rect l="0" t="0" r="r" b="b"/>
                              <a:pathLst>
                                <a:path w="1417" h="340">
                                  <a:moveTo>
                                    <a:pt x="1417" y="0"/>
                                  </a:moveTo>
                                  <a:lnTo>
                                    <a:pt x="609" y="0"/>
                                  </a:lnTo>
                                  <a:lnTo>
                                    <a:pt x="609" y="340"/>
                                  </a:lnTo>
                                  <a:lnTo>
                                    <a:pt x="0" y="340"/>
                                  </a:lnTo>
                                </a:path>
                              </a:pathLst>
                            </a:custGeom>
                            <a:noFill/>
                            <a:ln w="9525">
                              <a:solidFill>
                                <a:srgbClr val="C55A11"/>
                              </a:solidFill>
                              <a:round/>
                            </a:ln>
                          </wps:spPr>
                          <wps:txbx>
                            <w:txbxContent>
                              <w:p w14:paraId="62F0BAFB">
                                <w:pPr>
                                  <w:jc w:val="center"/>
                                </w:pPr>
                              </w:p>
                            </w:txbxContent>
                          </wps:txbx>
                          <wps:bodyPr rot="0" vert="horz" wrap="square" lIns="91440" tIns="45720" rIns="91440" bIns="45720" anchor="t" anchorCtr="0" upright="1">
                            <a:noAutofit/>
                          </wps:bodyPr>
                        </wps:wsp>
                        <wps:wsp>
                          <wps:cNvPr id="1000545065" name="Freeform 67"/>
                          <wps:cNvSpPr/>
                          <wps:spPr bwMode="auto">
                            <a:xfrm>
                              <a:off x="0" y="14760"/>
                              <a:ext cx="10793" cy="340"/>
                            </a:xfrm>
                            <a:custGeom>
                              <a:avLst/>
                              <a:gdLst>
                                <a:gd name="T0" fmla="*/ 0 w 10793"/>
                                <a:gd name="T1" fmla="+- 0 14760 14760"/>
                                <a:gd name="T2" fmla="*/ 14760 h 340"/>
                                <a:gd name="T3" fmla="*/ 10769 w 10793"/>
                                <a:gd name="T4" fmla="+- 0 14760 14760"/>
                                <a:gd name="T5" fmla="*/ 14760 h 340"/>
                                <a:gd name="T6" fmla="*/ 10769 w 10793"/>
                                <a:gd name="T7" fmla="+- 0 15100 14760"/>
                                <a:gd name="T8" fmla="*/ 15100 h 340"/>
                                <a:gd name="T9" fmla="*/ 10792 w 10793"/>
                                <a:gd name="T10" fmla="+- 0 15100 14760"/>
                                <a:gd name="T11" fmla="*/ 15100 h 340"/>
                              </a:gdLst>
                              <a:ahLst/>
                              <a:cxnLst>
                                <a:cxn ang="0">
                                  <a:pos x="T0" y="T2"/>
                                </a:cxn>
                                <a:cxn ang="0">
                                  <a:pos x="T3" y="T5"/>
                                </a:cxn>
                                <a:cxn ang="0">
                                  <a:pos x="T6" y="T8"/>
                                </a:cxn>
                                <a:cxn ang="0">
                                  <a:pos x="T9" y="T11"/>
                                </a:cxn>
                              </a:cxnLst>
                              <a:rect l="0" t="0" r="r" b="b"/>
                              <a:pathLst>
                                <a:path w="10793" h="340">
                                  <a:moveTo>
                                    <a:pt x="0" y="0"/>
                                  </a:moveTo>
                                  <a:lnTo>
                                    <a:pt x="10769" y="0"/>
                                  </a:lnTo>
                                  <a:lnTo>
                                    <a:pt x="10769" y="340"/>
                                  </a:lnTo>
                                  <a:lnTo>
                                    <a:pt x="10792" y="340"/>
                                  </a:lnTo>
                                </a:path>
                              </a:pathLst>
                            </a:custGeom>
                            <a:noFill/>
                            <a:ln w="9525">
                              <a:solidFill>
                                <a:srgbClr val="C55A11"/>
                              </a:solidFill>
                              <a:round/>
                            </a:ln>
                          </wps:spPr>
                          <wps:bodyPr rot="0" vert="horz" wrap="square" lIns="91440" tIns="45720" rIns="91440" bIns="45720" anchor="t" anchorCtr="0" upright="1">
                            <a:noAutofit/>
                          </wps:bodyPr>
                        </wps:wsp>
                      </wpg:grpSp>
                      <wps:wsp>
                        <wps:cNvPr id="1243766896" name="Text Box 3"/>
                        <wps:cNvSpPr txBox="1"/>
                        <wps:spPr>
                          <a:xfrm>
                            <a:off x="6800850" y="-51643"/>
                            <a:ext cx="495300" cy="285750"/>
                          </a:xfrm>
                          <a:prstGeom prst="rect">
                            <a:avLst/>
                          </a:prstGeom>
                          <a:noFill/>
                          <a:ln w="6350">
                            <a:noFill/>
                          </a:ln>
                        </wps:spPr>
                        <wps:txbx>
                          <w:txbxContent>
                            <w:p w14:paraId="48422D4A">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02020928" name="Text Box 6"/>
                        <wps:cNvSpPr txBox="1"/>
                        <wps:spPr>
                          <a:xfrm>
                            <a:off x="683726" y="57021"/>
                            <a:ext cx="6104423" cy="635000"/>
                          </a:xfrm>
                          <a:prstGeom prst="rect">
                            <a:avLst/>
                          </a:prstGeom>
                          <a:noFill/>
                          <a:ln w="6350">
                            <a:noFill/>
                          </a:ln>
                        </wps:spPr>
                        <wps:txbx>
                          <w:txbxContent>
                            <w:p w14:paraId="2DD03E42">
                              <w:pPr>
                                <w:jc w:val="both"/>
                                <w:rPr>
                                  <w:bCs/>
                                  <w:sz w:val="18"/>
                                  <w:szCs w:val="18"/>
                                  <w:lang w:val="es-ES"/>
                                </w:rPr>
                              </w:pPr>
                              <w:r>
                                <w:rPr>
                                  <w:b/>
                                  <w:w w:val="95"/>
                                  <w:sz w:val="18"/>
                                  <w:szCs w:val="18"/>
                                </w:rPr>
                                <w:t>How</w:t>
                              </w:r>
                              <w:r>
                                <w:rPr>
                                  <w:b/>
                                  <w:spacing w:val="3"/>
                                  <w:w w:val="95"/>
                                  <w:sz w:val="18"/>
                                  <w:szCs w:val="18"/>
                                </w:rPr>
                                <w:t xml:space="preserve"> </w:t>
                              </w:r>
                              <w:r>
                                <w:rPr>
                                  <w:b/>
                                  <w:w w:val="95"/>
                                  <w:sz w:val="18"/>
                                  <w:szCs w:val="18"/>
                                </w:rPr>
                                <w:t>to</w:t>
                              </w:r>
                              <w:r>
                                <w:rPr>
                                  <w:b/>
                                  <w:spacing w:val="4"/>
                                  <w:w w:val="95"/>
                                  <w:sz w:val="18"/>
                                  <w:szCs w:val="18"/>
                                </w:rPr>
                                <w:t xml:space="preserve"> </w:t>
                              </w:r>
                              <w:r>
                                <w:rPr>
                                  <w:b/>
                                  <w:w w:val="95"/>
                                  <w:sz w:val="18"/>
                                  <w:szCs w:val="18"/>
                                </w:rPr>
                                <w:t>cite</w:t>
                              </w:r>
                              <w:r>
                                <w:rPr>
                                  <w:b/>
                                  <w:spacing w:val="4"/>
                                  <w:w w:val="95"/>
                                  <w:sz w:val="18"/>
                                  <w:szCs w:val="18"/>
                                </w:rPr>
                                <w:t xml:space="preserve"> </w:t>
                              </w:r>
                              <w:r>
                                <w:rPr>
                                  <w:b/>
                                  <w:w w:val="95"/>
                                  <w:sz w:val="18"/>
                                  <w:szCs w:val="18"/>
                                </w:rPr>
                                <w:t>this</w:t>
                              </w:r>
                              <w:r>
                                <w:rPr>
                                  <w:b/>
                                  <w:spacing w:val="3"/>
                                  <w:w w:val="95"/>
                                  <w:sz w:val="18"/>
                                  <w:szCs w:val="18"/>
                                </w:rPr>
                                <w:t xml:space="preserve"> </w:t>
                              </w:r>
                              <w:r>
                                <w:rPr>
                                  <w:b/>
                                  <w:w w:val="95"/>
                                  <w:sz w:val="18"/>
                                  <w:szCs w:val="18"/>
                                </w:rPr>
                                <w:t>article:</w:t>
                              </w:r>
                              <w:r>
                                <w:rPr>
                                  <w:b/>
                                  <w:spacing w:val="6"/>
                                  <w:w w:val="95"/>
                                  <w:sz w:val="18"/>
                                  <w:szCs w:val="18"/>
                                </w:rPr>
                                <w:t xml:space="preserve"> </w:t>
                              </w:r>
                              <w:bookmarkStart w:id="53" w:name="_Hlk232976820"/>
                              <w:r>
                                <w:rPr>
                                  <w:sz w:val="18"/>
                                  <w:szCs w:val="18"/>
                                  <w:lang w:val="es-ES"/>
                                </w:rPr>
                                <w:t>Albashir Y., Gumel S. M., Sule E. E., Mansur B. I., Magaji L. &amp; Hauwa Y. U</w:t>
                              </w:r>
                              <w:bookmarkEnd w:id="53"/>
                              <w:r>
                                <w:rPr>
                                  <w:sz w:val="18"/>
                                  <w:szCs w:val="18"/>
                                  <w:lang w:val="es-ES"/>
                                </w:rPr>
                                <w:t xml:space="preserve">. </w:t>
                              </w:r>
                              <w:r>
                                <w:rPr>
                                  <w:w w:val="95"/>
                                  <w:sz w:val="18"/>
                                  <w:szCs w:val="18"/>
                                </w:rPr>
                                <w:t>(2026).</w:t>
                              </w:r>
                              <w:r>
                                <w:rPr>
                                  <w:spacing w:val="2"/>
                                  <w:w w:val="95"/>
                                  <w:sz w:val="18"/>
                                  <w:szCs w:val="18"/>
                                </w:rPr>
                                <w:t xml:space="preserve"> </w:t>
                              </w:r>
                              <w:bookmarkStart w:id="54" w:name="_Hlk232976787"/>
                              <w:r>
                                <w:rPr>
                                  <w:bCs/>
                                  <w:sz w:val="18"/>
                                  <w:szCs w:val="18"/>
                                </w:rPr>
                                <w:t>Dye-sensitized Solar Cells: Recent Advances in Materials, Electron Transfer Mechanisms, Sensitizer Engineering, and Future Directions</w:t>
                              </w:r>
                              <w:bookmarkEnd w:id="54"/>
                              <w:r>
                                <w:rPr>
                                  <w:sz w:val="18"/>
                                  <w:szCs w:val="18"/>
                                </w:rPr>
                                <w:t xml:space="preserve">. </w:t>
                              </w:r>
                              <w:r>
                                <w:rPr>
                                  <w:i/>
                                  <w:w w:val="90"/>
                                  <w:sz w:val="18"/>
                                  <w:szCs w:val="18"/>
                                </w:rPr>
                                <w:t>Journal</w:t>
                              </w:r>
                              <w:r>
                                <w:rPr>
                                  <w:i/>
                                  <w:spacing w:val="2"/>
                                  <w:w w:val="90"/>
                                  <w:sz w:val="18"/>
                                  <w:szCs w:val="18"/>
                                </w:rPr>
                                <w:t xml:space="preserve"> </w:t>
                              </w:r>
                              <w:r>
                                <w:rPr>
                                  <w:i/>
                                  <w:w w:val="90"/>
                                  <w:sz w:val="18"/>
                                  <w:szCs w:val="18"/>
                                </w:rPr>
                                <w:t>of</w:t>
                              </w:r>
                              <w:r>
                                <w:rPr>
                                  <w:i/>
                                  <w:spacing w:val="2"/>
                                  <w:w w:val="90"/>
                                  <w:sz w:val="18"/>
                                  <w:szCs w:val="18"/>
                                </w:rPr>
                                <w:t xml:space="preserve"> </w:t>
                              </w:r>
                              <w:r>
                                <w:rPr>
                                  <w:i/>
                                  <w:w w:val="90"/>
                                  <w:sz w:val="18"/>
                                  <w:szCs w:val="18"/>
                                </w:rPr>
                                <w:t>Basics</w:t>
                              </w:r>
                              <w:r>
                                <w:rPr>
                                  <w:i/>
                                  <w:spacing w:val="3"/>
                                  <w:w w:val="90"/>
                                  <w:sz w:val="18"/>
                                  <w:szCs w:val="18"/>
                                </w:rPr>
                                <w:t xml:space="preserve"> </w:t>
                              </w:r>
                              <w:r>
                                <w:rPr>
                                  <w:i/>
                                  <w:w w:val="90"/>
                                  <w:sz w:val="18"/>
                                  <w:szCs w:val="18"/>
                                </w:rPr>
                                <w:t>and</w:t>
                              </w:r>
                              <w:r>
                                <w:rPr>
                                  <w:i/>
                                  <w:spacing w:val="3"/>
                                  <w:w w:val="90"/>
                                  <w:sz w:val="18"/>
                                  <w:szCs w:val="18"/>
                                </w:rPr>
                                <w:t xml:space="preserve"> </w:t>
                              </w:r>
                              <w:r>
                                <w:rPr>
                                  <w:i/>
                                  <w:w w:val="90"/>
                                  <w:sz w:val="18"/>
                                  <w:szCs w:val="18"/>
                                </w:rPr>
                                <w:t>Applied</w:t>
                              </w:r>
                              <w:r>
                                <w:rPr>
                                  <w:i/>
                                  <w:spacing w:val="3"/>
                                  <w:w w:val="90"/>
                                  <w:sz w:val="18"/>
                                  <w:szCs w:val="18"/>
                                </w:rPr>
                                <w:t xml:space="preserve"> </w:t>
                              </w:r>
                              <w:r>
                                <w:rPr>
                                  <w:i/>
                                  <w:w w:val="90"/>
                                  <w:sz w:val="18"/>
                                  <w:szCs w:val="18"/>
                                </w:rPr>
                                <w:t>Sciences</w:t>
                              </w:r>
                              <w:r>
                                <w:rPr>
                                  <w:i/>
                                  <w:spacing w:val="2"/>
                                  <w:w w:val="90"/>
                                  <w:sz w:val="18"/>
                                  <w:szCs w:val="18"/>
                                </w:rPr>
                                <w:t xml:space="preserve"> </w:t>
                              </w:r>
                              <w:r>
                                <w:rPr>
                                  <w:i/>
                                  <w:w w:val="90"/>
                                  <w:sz w:val="18"/>
                                  <w:szCs w:val="18"/>
                                </w:rPr>
                                <w:t>Research</w:t>
                              </w:r>
                              <w:r>
                                <w:rPr>
                                  <w:w w:val="90"/>
                                  <w:sz w:val="18"/>
                                  <w:szCs w:val="18"/>
                                </w:rPr>
                                <w:t>,</w:t>
                              </w:r>
                              <w:r>
                                <w:rPr>
                                  <w:i/>
                                  <w:sz w:val="18"/>
                                  <w:szCs w:val="18"/>
                                </w:rPr>
                                <w:t xml:space="preserve"> 4</w:t>
                              </w:r>
                              <w:r>
                                <w:rPr>
                                  <w:sz w:val="18"/>
                                  <w:szCs w:val="18"/>
                                </w:rPr>
                                <w:t>(3),</w:t>
                              </w:r>
                              <w:r>
                                <w:rPr>
                                  <w:spacing w:val="-8"/>
                                  <w:sz w:val="18"/>
                                  <w:szCs w:val="18"/>
                                </w:rPr>
                                <w:t xml:space="preserve"> </w:t>
                              </w:r>
                              <w:r>
                                <w:rPr>
                                  <w:sz w:val="18"/>
                                  <w:szCs w:val="18"/>
                                </w:rPr>
                                <w:t xml:space="preserve">267-296. </w:t>
                              </w:r>
                              <w:r>
                                <w:fldChar w:fldCharType="begin"/>
                              </w:r>
                              <w:r>
                                <w:instrText xml:space="preserve"> HYPERLINK "https://dx.doi.org/10.4314/jobasr.v4i3.28" </w:instrText>
                              </w:r>
                              <w:r>
                                <w:fldChar w:fldCharType="separate"/>
                              </w:r>
                              <w:r>
                                <w:rPr>
                                  <w:rStyle w:val="25"/>
                                  <w:rFonts w:eastAsia="Arial"/>
                                  <w:sz w:val="18"/>
                                  <w:szCs w:val="18"/>
                                </w:rPr>
                                <w:t>https://dx.doi.org/10.4314/jobasr.v4i3.28</w:t>
                              </w:r>
                              <w:r>
                                <w:rPr>
                                  <w:rStyle w:val="25"/>
                                  <w:rFonts w:eastAsia="Arial"/>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23" o:spid="_x0000_s1026" o:spt="203" style="position:absolute;left:0pt;margin-left:0pt;margin-top:87.75pt;height:64.8pt;width:611.2pt;mso-position-horizontal-relative:page;z-index:251667456;mso-width-relative:page;mso-height-relative:page;" coordorigin="0,-51643" coordsize="7762240,743664" o:gfxdata="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CW&#10;9Uk02QAAAAkBAAAPAAAAAAAAAAEAIAAAACIAAABkcnMvZG93bnJldi54bWxQSwECFAAUAAAACACH&#10;TuJAGnNOu7MFAAAWFgAADgAAAAAAAAABACAAAAAoAQAAZHJzL2Uyb0RvYy54bWxQSwUGAAAAAAYA&#10;BgBZAQAATQkAAAAA&#10;">
                <o:lock v:ext="edit" aspectratio="f"/>
                <v:group id="Group 21" o:spid="_x0000_s1026" o:spt="203" style="position:absolute;left:0;top:12700;height:286385;width:7762240;" coordorigin="-8,14753" coordsize="12224,355" o:gfxdata="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Pp8oiDEAAAA4gAAAA8AAAAAAAAAAQAgAAAAIgAAAGRycy9kb3du&#10;cmV2LnhtbFBLAQIUABQAAAAIAIdO4kAzLwWeOwAAADkAAAAVAAAAAAAAAAEAIAAAABMBAABkcnMv&#10;Z3JvdXBzaGFwZXhtbC54bWxQSwUGAAAAAAYABgBgAQAA0AMAAAAA&#10;">
                  <o:lock v:ext="edit" aspectratio="f"/>
                  <v:shape id="Freeform 66" o:spid="_x0000_s1026" o:spt="100" style="position:absolute;left:10792;top:14760;height:340;width:1417;" filled="f" stroked="t" coordsize="1417,340" o:gfxdata="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4AgUZMQAAADiAAAADwAAAAAAAAABACAAAAAiAAAAZHJzL2Rvd25yZXYueG1sUEsBAhQAFAAAAAgA&#10;h07iQDMvBZ47AAAAOQAAABAAAAAAAAAAAQAgAAAAEwEAAGRycy9zaGFwZXhtbC54bWxQSwUGAAAA&#10;AAYABgBbAQAAvQMAAAAA&#10;" path="m1417,0l609,0,609,340,0,340e">
                    <v:path textboxrect="0,0,1417,340" o:connectlocs="1417,14760;609,14760;609,15100;0,15100" o:connectangles="0,0,0,0"/>
                    <v:fill on="f" focussize="0,0"/>
                    <v:stroke color="#C55A11" joinstyle="round"/>
                    <v:imagedata o:title=""/>
                    <o:lock v:ext="edit" aspectratio="f"/>
                    <v:textbox>
                      <w:txbxContent>
                        <w:p w14:paraId="62F0BAFB">
                          <w:pPr>
                            <w:jc w:val="center"/>
                          </w:pPr>
                        </w:p>
                      </w:txbxContent>
                    </v:textbox>
                  </v:shape>
                  <v:shape id="Freeform 67" o:spid="_x0000_s1026" o:spt="100" style="position:absolute;left:0;top:14760;height:340;width:10793;" filled="f" stroked="t" coordsize="10793,340" o:gfxdata="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IC7c&#10;wAAAAOMAAAAPAAAAAAAAAAEAIAAAACIAAABkcnMvZG93bnJldi54bWxQSwECFAAUAAAACACHTuJA&#10;My8FnjsAAAA5AAAAEAAAAAAAAAABACAAAAAPAQAAZHJzL3NoYXBleG1sLnhtbFBLBQYAAAAABgAG&#10;AFsBAAC5AwAAAAA=&#10;" path="m0,0l10769,0,10769,340,10792,340e">
                    <v:path o:connectlocs="0,14760;10769,14760;10769,15100;10792,15100" o:connectangles="0,0,0,0"/>
                    <v:fill on="f" focussize="0,0"/>
                    <v:stroke color="#C55A11" joinstyle="round"/>
                    <v:imagedata o:title=""/>
                    <o:lock v:ext="edit" aspectratio="f"/>
                  </v:shape>
                </v:group>
                <v:shape id="Text Box 3" o:spid="_x0000_s1026" o:spt="202" type="#_x0000_t202" style="position:absolute;left:6800850;top:-51643;height:285750;width:495300;" filled="f" stroked="f" coordsize="21600,21600" o:gfxdata="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u&#10;MqBswwAAAOMAAAAPAAAAAAAAAAEAIAAAACIAAABkcnMvZG93bnJldi54bWxQSwECFAAUAAAACACH&#10;TuJAMy8FnjsAAAA5AAAAEAAAAAAAAAABACAAAAASAQAAZHJzL3NoYXBleG1sLnhtbFBLBQYAAAAA&#10;BgAGAFsBAAC8AwAAAAA=&#10;">
                  <v:fill on="f" focussize="0,0"/>
                  <v:stroke on="f" weight="0.5pt"/>
                  <v:imagedata o:title=""/>
                  <o:lock v:ext="edit" aspectratio="f"/>
                  <v:textbox>
                    <w:txbxContent>
                      <w:p w14:paraId="48422D4A">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267</w:t>
                        </w:r>
                      </w:p>
                    </w:txbxContent>
                  </v:textbox>
                </v:shape>
                <v:shape id="Text Box 6" o:spid="_x0000_s1026" o:spt="202" type="#_x0000_t202" style="position:absolute;left:683726;top:57021;height:635000;width:6104423;" filled="f" stroked="f" coordsize="21600,21600" o:gfxdata="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Y&#10;4DQvwwAAAOMAAAAPAAAAAAAAAAEAIAAAACIAAABkcnMvZG93bnJldi54bWxQSwECFAAUAAAACACH&#10;TuJAMy8FnjsAAAA5AAAAEAAAAAAAAAABACAAAAASAQAAZHJzL3NoYXBleG1sLnhtbFBLBQYAAAAA&#10;BgAGAFsBAAC8AwAAAAA=&#10;">
                  <v:fill on="f" focussize="0,0"/>
                  <v:stroke on="f" weight="0.5pt"/>
                  <v:imagedata o:title=""/>
                  <o:lock v:ext="edit" aspectratio="f"/>
                  <v:textbox>
                    <w:txbxContent>
                      <w:p w14:paraId="2DD03E42">
                        <w:pPr>
                          <w:jc w:val="both"/>
                          <w:rPr>
                            <w:bCs/>
                            <w:sz w:val="18"/>
                            <w:szCs w:val="18"/>
                            <w:lang w:val="es-ES"/>
                          </w:rPr>
                        </w:pPr>
                        <w:r>
                          <w:rPr>
                            <w:b/>
                            <w:w w:val="95"/>
                            <w:sz w:val="18"/>
                            <w:szCs w:val="18"/>
                          </w:rPr>
                          <w:t>How</w:t>
                        </w:r>
                        <w:r>
                          <w:rPr>
                            <w:b/>
                            <w:spacing w:val="3"/>
                            <w:w w:val="95"/>
                            <w:sz w:val="18"/>
                            <w:szCs w:val="18"/>
                          </w:rPr>
                          <w:t xml:space="preserve"> </w:t>
                        </w:r>
                        <w:r>
                          <w:rPr>
                            <w:b/>
                            <w:w w:val="95"/>
                            <w:sz w:val="18"/>
                            <w:szCs w:val="18"/>
                          </w:rPr>
                          <w:t>to</w:t>
                        </w:r>
                        <w:r>
                          <w:rPr>
                            <w:b/>
                            <w:spacing w:val="4"/>
                            <w:w w:val="95"/>
                            <w:sz w:val="18"/>
                            <w:szCs w:val="18"/>
                          </w:rPr>
                          <w:t xml:space="preserve"> </w:t>
                        </w:r>
                        <w:r>
                          <w:rPr>
                            <w:b/>
                            <w:w w:val="95"/>
                            <w:sz w:val="18"/>
                            <w:szCs w:val="18"/>
                          </w:rPr>
                          <w:t>cite</w:t>
                        </w:r>
                        <w:r>
                          <w:rPr>
                            <w:b/>
                            <w:spacing w:val="4"/>
                            <w:w w:val="95"/>
                            <w:sz w:val="18"/>
                            <w:szCs w:val="18"/>
                          </w:rPr>
                          <w:t xml:space="preserve"> </w:t>
                        </w:r>
                        <w:r>
                          <w:rPr>
                            <w:b/>
                            <w:w w:val="95"/>
                            <w:sz w:val="18"/>
                            <w:szCs w:val="18"/>
                          </w:rPr>
                          <w:t>this</w:t>
                        </w:r>
                        <w:r>
                          <w:rPr>
                            <w:b/>
                            <w:spacing w:val="3"/>
                            <w:w w:val="95"/>
                            <w:sz w:val="18"/>
                            <w:szCs w:val="18"/>
                          </w:rPr>
                          <w:t xml:space="preserve"> </w:t>
                        </w:r>
                        <w:r>
                          <w:rPr>
                            <w:b/>
                            <w:w w:val="95"/>
                            <w:sz w:val="18"/>
                            <w:szCs w:val="18"/>
                          </w:rPr>
                          <w:t>article:</w:t>
                        </w:r>
                        <w:r>
                          <w:rPr>
                            <w:b/>
                            <w:spacing w:val="6"/>
                            <w:w w:val="95"/>
                            <w:sz w:val="18"/>
                            <w:szCs w:val="18"/>
                          </w:rPr>
                          <w:t xml:space="preserve"> </w:t>
                        </w:r>
                        <w:bookmarkStart w:id="53" w:name="_Hlk232976820"/>
                        <w:r>
                          <w:rPr>
                            <w:sz w:val="18"/>
                            <w:szCs w:val="18"/>
                            <w:lang w:val="es-ES"/>
                          </w:rPr>
                          <w:t>Albashir Y., Gumel S. M., Sule E. E., Mansur B. I., Magaji L. &amp; Hauwa Y. U</w:t>
                        </w:r>
                        <w:bookmarkEnd w:id="53"/>
                        <w:r>
                          <w:rPr>
                            <w:sz w:val="18"/>
                            <w:szCs w:val="18"/>
                            <w:lang w:val="es-ES"/>
                          </w:rPr>
                          <w:t xml:space="preserve">. </w:t>
                        </w:r>
                        <w:r>
                          <w:rPr>
                            <w:w w:val="95"/>
                            <w:sz w:val="18"/>
                            <w:szCs w:val="18"/>
                          </w:rPr>
                          <w:t>(2026).</w:t>
                        </w:r>
                        <w:r>
                          <w:rPr>
                            <w:spacing w:val="2"/>
                            <w:w w:val="95"/>
                            <w:sz w:val="18"/>
                            <w:szCs w:val="18"/>
                          </w:rPr>
                          <w:t xml:space="preserve"> </w:t>
                        </w:r>
                        <w:bookmarkStart w:id="54" w:name="_Hlk232976787"/>
                        <w:r>
                          <w:rPr>
                            <w:bCs/>
                            <w:sz w:val="18"/>
                            <w:szCs w:val="18"/>
                          </w:rPr>
                          <w:t>Dye-sensitized Solar Cells: Recent Advances in Materials, Electron Transfer Mechanisms, Sensitizer Engineering, and Future Directions</w:t>
                        </w:r>
                        <w:bookmarkEnd w:id="54"/>
                        <w:r>
                          <w:rPr>
                            <w:sz w:val="18"/>
                            <w:szCs w:val="18"/>
                          </w:rPr>
                          <w:t xml:space="preserve">. </w:t>
                        </w:r>
                        <w:r>
                          <w:rPr>
                            <w:i/>
                            <w:w w:val="90"/>
                            <w:sz w:val="18"/>
                            <w:szCs w:val="18"/>
                          </w:rPr>
                          <w:t>Journal</w:t>
                        </w:r>
                        <w:r>
                          <w:rPr>
                            <w:i/>
                            <w:spacing w:val="2"/>
                            <w:w w:val="90"/>
                            <w:sz w:val="18"/>
                            <w:szCs w:val="18"/>
                          </w:rPr>
                          <w:t xml:space="preserve"> </w:t>
                        </w:r>
                        <w:r>
                          <w:rPr>
                            <w:i/>
                            <w:w w:val="90"/>
                            <w:sz w:val="18"/>
                            <w:szCs w:val="18"/>
                          </w:rPr>
                          <w:t>of</w:t>
                        </w:r>
                        <w:r>
                          <w:rPr>
                            <w:i/>
                            <w:spacing w:val="2"/>
                            <w:w w:val="90"/>
                            <w:sz w:val="18"/>
                            <w:szCs w:val="18"/>
                          </w:rPr>
                          <w:t xml:space="preserve"> </w:t>
                        </w:r>
                        <w:r>
                          <w:rPr>
                            <w:i/>
                            <w:w w:val="90"/>
                            <w:sz w:val="18"/>
                            <w:szCs w:val="18"/>
                          </w:rPr>
                          <w:t>Basics</w:t>
                        </w:r>
                        <w:r>
                          <w:rPr>
                            <w:i/>
                            <w:spacing w:val="3"/>
                            <w:w w:val="90"/>
                            <w:sz w:val="18"/>
                            <w:szCs w:val="18"/>
                          </w:rPr>
                          <w:t xml:space="preserve"> </w:t>
                        </w:r>
                        <w:r>
                          <w:rPr>
                            <w:i/>
                            <w:w w:val="90"/>
                            <w:sz w:val="18"/>
                            <w:szCs w:val="18"/>
                          </w:rPr>
                          <w:t>and</w:t>
                        </w:r>
                        <w:r>
                          <w:rPr>
                            <w:i/>
                            <w:spacing w:val="3"/>
                            <w:w w:val="90"/>
                            <w:sz w:val="18"/>
                            <w:szCs w:val="18"/>
                          </w:rPr>
                          <w:t xml:space="preserve"> </w:t>
                        </w:r>
                        <w:r>
                          <w:rPr>
                            <w:i/>
                            <w:w w:val="90"/>
                            <w:sz w:val="18"/>
                            <w:szCs w:val="18"/>
                          </w:rPr>
                          <w:t>Applied</w:t>
                        </w:r>
                        <w:r>
                          <w:rPr>
                            <w:i/>
                            <w:spacing w:val="3"/>
                            <w:w w:val="90"/>
                            <w:sz w:val="18"/>
                            <w:szCs w:val="18"/>
                          </w:rPr>
                          <w:t xml:space="preserve"> </w:t>
                        </w:r>
                        <w:r>
                          <w:rPr>
                            <w:i/>
                            <w:w w:val="90"/>
                            <w:sz w:val="18"/>
                            <w:szCs w:val="18"/>
                          </w:rPr>
                          <w:t>Sciences</w:t>
                        </w:r>
                        <w:r>
                          <w:rPr>
                            <w:i/>
                            <w:spacing w:val="2"/>
                            <w:w w:val="90"/>
                            <w:sz w:val="18"/>
                            <w:szCs w:val="18"/>
                          </w:rPr>
                          <w:t xml:space="preserve"> </w:t>
                        </w:r>
                        <w:r>
                          <w:rPr>
                            <w:i/>
                            <w:w w:val="90"/>
                            <w:sz w:val="18"/>
                            <w:szCs w:val="18"/>
                          </w:rPr>
                          <w:t>Research</w:t>
                        </w:r>
                        <w:r>
                          <w:rPr>
                            <w:w w:val="90"/>
                            <w:sz w:val="18"/>
                            <w:szCs w:val="18"/>
                          </w:rPr>
                          <w:t>,</w:t>
                        </w:r>
                        <w:r>
                          <w:rPr>
                            <w:i/>
                            <w:sz w:val="18"/>
                            <w:szCs w:val="18"/>
                          </w:rPr>
                          <w:t xml:space="preserve"> 4</w:t>
                        </w:r>
                        <w:r>
                          <w:rPr>
                            <w:sz w:val="18"/>
                            <w:szCs w:val="18"/>
                          </w:rPr>
                          <w:t>(3),</w:t>
                        </w:r>
                        <w:r>
                          <w:rPr>
                            <w:spacing w:val="-8"/>
                            <w:sz w:val="18"/>
                            <w:szCs w:val="18"/>
                          </w:rPr>
                          <w:t xml:space="preserve"> </w:t>
                        </w:r>
                        <w:r>
                          <w:rPr>
                            <w:sz w:val="18"/>
                            <w:szCs w:val="18"/>
                          </w:rPr>
                          <w:t xml:space="preserve">267-296. </w:t>
                        </w:r>
                        <w:r>
                          <w:fldChar w:fldCharType="begin"/>
                        </w:r>
                        <w:r>
                          <w:instrText xml:space="preserve"> HYPERLINK "https://dx.doi.org/10.4314/jobasr.v4i3.28" </w:instrText>
                        </w:r>
                        <w:r>
                          <w:fldChar w:fldCharType="separate"/>
                        </w:r>
                        <w:r>
                          <w:rPr>
                            <w:rStyle w:val="25"/>
                            <w:rFonts w:eastAsia="Arial"/>
                            <w:sz w:val="18"/>
                            <w:szCs w:val="18"/>
                          </w:rPr>
                          <w:t>https://dx.doi.org/10.4314/jobasr.v4i3.28</w:t>
                        </w:r>
                        <w:r>
                          <w:rPr>
                            <w:rStyle w:val="25"/>
                            <w:rFonts w:eastAsia="Arial"/>
                            <w:sz w:val="18"/>
                            <w:szCs w:val="18"/>
                          </w:rPr>
                          <w:fldChar w:fldCharType="end"/>
                        </w:r>
                      </w:p>
                    </w:txbxContent>
                  </v:textbox>
                </v:shape>
              </v:group>
            </w:pict>
          </mc:Fallback>
        </mc:AlternateContent>
      </w:r>
      <w:r>
        <w:rPr>
          <w:sz w:val="20"/>
          <w:szCs w:val="20"/>
        </w:rPr>
        <w:t xml:space="preserve">The current primary source of energy (fossil fuels) needs to be substituted by cleaner and cheaper renewable energy sources to minimize the huge environmental and economic challenges the world is facing (Panwar </w:t>
      </w:r>
      <w:r>
        <w:rPr>
          <w:i/>
          <w:sz w:val="20"/>
          <w:szCs w:val="20"/>
        </w:rPr>
        <w:t>et al.,</w:t>
      </w:r>
      <w:r>
        <w:rPr>
          <w:sz w:val="20"/>
          <w:szCs w:val="20"/>
        </w:rPr>
        <w:t xml:space="preserve"> 2011; Owusu and Sarkodie, 2016). Many non-renewable energy sources were employed which proved to have caused a serious environmental disaster (Belaïd </w:t>
      </w:r>
      <w:r>
        <w:rPr>
          <w:i/>
          <w:sz w:val="20"/>
          <w:szCs w:val="20"/>
        </w:rPr>
        <w:t>et al.,</w:t>
      </w:r>
      <w:r>
        <w:rPr>
          <w:sz w:val="20"/>
          <w:szCs w:val="20"/>
        </w:rPr>
        <w:t xml:space="preserve"> 2019; Güney, 2019). </w:t>
      </w:r>
    </w:p>
    <w:p w14:paraId="0CBE5943">
      <w:pPr>
        <w:jc w:val="both"/>
        <w:rPr>
          <w:sz w:val="20"/>
          <w:szCs w:val="20"/>
        </w:rPr>
      </w:pPr>
    </w:p>
    <w:p w14:paraId="41D0F72B">
      <w:pPr>
        <w:jc w:val="both"/>
        <w:rPr>
          <w:sz w:val="20"/>
          <w:szCs w:val="20"/>
        </w:rPr>
      </w:pPr>
    </w:p>
    <w:p w14:paraId="0A53B2AE">
      <w:pPr>
        <w:jc w:val="both"/>
        <w:rPr>
          <w:sz w:val="20"/>
          <w:szCs w:val="20"/>
        </w:rPr>
      </w:pPr>
    </w:p>
    <w:p w14:paraId="7034856A">
      <w:pPr>
        <w:jc w:val="both"/>
        <w:rPr>
          <w:sz w:val="20"/>
          <w:szCs w:val="20"/>
        </w:rPr>
      </w:pPr>
    </w:p>
    <w:p w14:paraId="56273B51">
      <w:pPr>
        <w:jc w:val="both"/>
        <w:rPr>
          <w:sz w:val="20"/>
          <w:szCs w:val="20"/>
        </w:rPr>
      </w:pPr>
    </w:p>
    <w:p w14:paraId="251A06C4">
      <w:pPr>
        <w:jc w:val="both"/>
        <w:rPr>
          <w:sz w:val="20"/>
          <w:szCs w:val="20"/>
        </w:rPr>
      </w:pPr>
      <w:r>
        <w:rPr>
          <w:sz w:val="20"/>
          <w:szCs w:val="20"/>
        </w:rPr>
        <w:t xml:space="preserve">Therefore, access to clean, cheap, reliable, and sustainable energy leads the way to the exploration of a large number of renewable energies, like, wind, solar, tidal, and geothermal etc (Rahman </w:t>
      </w:r>
      <w:r>
        <w:rPr>
          <w:i/>
          <w:sz w:val="20"/>
          <w:szCs w:val="20"/>
        </w:rPr>
        <w:t>et al.,</w:t>
      </w:r>
      <w:r>
        <w:rPr>
          <w:sz w:val="20"/>
          <w:szCs w:val="20"/>
        </w:rPr>
        <w:t xml:space="preserve"> 2022).</w:t>
      </w:r>
    </w:p>
    <w:p w14:paraId="728255BB">
      <w:pPr>
        <w:jc w:val="both"/>
        <w:rPr>
          <w:sz w:val="20"/>
          <w:szCs w:val="20"/>
        </w:rPr>
      </w:pPr>
      <w:r>
        <w:rPr>
          <w:sz w:val="20"/>
          <w:szCs w:val="20"/>
        </w:rPr>
        <w:t>The abundance of solar energy makes it among the most favorable alternative energy sources in the future; it has already proven the capability of matching the world’s increasing energy needs with its unlimited quantity (Bazmi and Zahedi, 2011). Solar energy is completely clean and free which serves as a source of energy for every form of life (Chala and Alshaikh, 2023). It has been estimated that the quantity of solar energy reaching the earth in an hour can satisfy one year's energy needs (Şen, 2004; Chen, 2011).</w:t>
      </w:r>
    </w:p>
    <w:p w14:paraId="0D1FE08C">
      <w:pPr>
        <w:pStyle w:val="2"/>
        <w:spacing w:before="0"/>
        <w:jc w:val="both"/>
        <w:rPr>
          <w:rFonts w:ascii="Times New Roman" w:hAnsi="Times New Roman" w:cs="Times New Roman"/>
          <w:color w:val="auto"/>
          <w:sz w:val="20"/>
          <w:szCs w:val="20"/>
        </w:rPr>
      </w:pPr>
      <w:bookmarkStart w:id="7" w:name="_Toc177051972"/>
      <w:r>
        <w:rPr>
          <w:rFonts w:ascii="Times New Roman" w:hAnsi="Times New Roman" w:cs="Times New Roman"/>
          <w:color w:val="auto"/>
          <w:sz w:val="20"/>
          <w:szCs w:val="20"/>
        </w:rPr>
        <w:t>Dye-Sensitized Solar Cells</w:t>
      </w:r>
      <w:bookmarkEnd w:id="7"/>
    </w:p>
    <w:p w14:paraId="47F2EB70">
      <w:pPr>
        <w:jc w:val="both"/>
        <w:rPr>
          <w:sz w:val="20"/>
          <w:szCs w:val="20"/>
        </w:rPr>
      </w:pPr>
      <w:r>
        <w:rPr>
          <w:sz w:val="20"/>
          <w:szCs w:val="20"/>
        </w:rPr>
        <w:t xml:space="preserve">DSSCs are unique cells capable of converting visible light to electricity through sensitization of wide band gap semiconductors (Rawal </w:t>
      </w:r>
      <w:r>
        <w:rPr>
          <w:i/>
          <w:sz w:val="20"/>
          <w:szCs w:val="20"/>
        </w:rPr>
        <w:t>et al.,</w:t>
      </w:r>
      <w:r>
        <w:rPr>
          <w:sz w:val="20"/>
          <w:szCs w:val="20"/>
        </w:rPr>
        <w:t xml:space="preserve"> 2015; Joseph </w:t>
      </w:r>
      <w:r>
        <w:rPr>
          <w:i/>
          <w:sz w:val="20"/>
          <w:szCs w:val="20"/>
        </w:rPr>
        <w:t>et al.,</w:t>
      </w:r>
      <w:r>
        <w:rPr>
          <w:sz w:val="20"/>
          <w:szCs w:val="20"/>
        </w:rPr>
        <w:t xml:space="preserve"> 2020). The history of dye-sensitized solar cells dates back to 1972 with the fabrication of a chlorophyll-sensitized zinc oxide (ZnO) electrode by Heinz Gerischer,</w:t>
      </w:r>
    </w:p>
    <w:p w14:paraId="043BD474">
      <w:pPr>
        <w:jc w:val="both"/>
        <w:rPr>
          <w:sz w:val="20"/>
          <w:szCs w:val="20"/>
        </w:rPr>
      </w:pPr>
    </w:p>
    <w:p w14:paraId="1620BA69">
      <w:pPr>
        <w:jc w:val="both"/>
        <w:rPr>
          <w:sz w:val="20"/>
          <w:szCs w:val="20"/>
        </w:rPr>
      </w:pPr>
    </w:p>
    <w:p w14:paraId="7D69D1BF">
      <w:pPr>
        <w:jc w:val="both"/>
        <w:rPr>
          <w:sz w:val="20"/>
          <w:szCs w:val="20"/>
        </w:rPr>
      </w:pPr>
    </w:p>
    <w:p w14:paraId="2DFEF167">
      <w:pPr>
        <w:jc w:val="both"/>
        <w:rPr>
          <w:sz w:val="20"/>
          <w:szCs w:val="20"/>
        </w:rPr>
      </w:pPr>
    </w:p>
    <w:p w14:paraId="49EFA34C">
      <w:pPr>
        <w:jc w:val="both"/>
        <w:rPr>
          <w:sz w:val="20"/>
          <w:szCs w:val="20"/>
        </w:rPr>
      </w:pPr>
    </w:p>
    <w:p w14:paraId="1AF606D8">
      <w:pPr>
        <w:jc w:val="both"/>
        <w:rPr>
          <w:sz w:val="20"/>
          <w:szCs w:val="20"/>
        </w:rPr>
      </w:pPr>
      <w:r>
        <w:rPr>
          <w:sz w:val="20"/>
          <w:szCs w:val="20"/>
        </w:rPr>
        <w:t xml:space="preserve"> Helmut Tributsch, and Melvin Calvin. Rhodamine B adsorbed on the ZnO electrode, was used to explain the processes of sensitization, the chlorophyll, ZnO monocrystals, and photosynthetic membrane were used. The sensitization process involves the movement of charge from the sensitizer to its conduction band in the form of an electron. The efficiencies obtained were poor (Muñoz </w:t>
      </w:r>
      <w:r>
        <w:rPr>
          <w:i/>
          <w:sz w:val="20"/>
          <w:szCs w:val="20"/>
        </w:rPr>
        <w:t>et al.,</w:t>
      </w:r>
      <w:r>
        <w:rPr>
          <w:sz w:val="20"/>
          <w:szCs w:val="20"/>
        </w:rPr>
        <w:t xml:space="preserve"> 2021).</w:t>
      </w:r>
    </w:p>
    <w:p w14:paraId="6B7157D8">
      <w:pPr>
        <w:jc w:val="both"/>
        <w:rPr>
          <w:sz w:val="20"/>
          <w:szCs w:val="20"/>
        </w:rPr>
      </w:pPr>
      <w:r>
        <w:rPr>
          <w:sz w:val="20"/>
          <w:szCs w:val="20"/>
        </w:rPr>
        <w:t>In 1976 Carlson and Pankove developed the first amorphous silicon solar device having an efficiency of 2.4%, and it was later increased to 4% (Radue and Van Dyk, 2010).</w:t>
      </w:r>
    </w:p>
    <w:p w14:paraId="7643EF54">
      <w:pPr>
        <w:jc w:val="both"/>
        <w:rPr>
          <w:sz w:val="20"/>
          <w:szCs w:val="20"/>
        </w:rPr>
      </w:pPr>
      <w:r>
        <w:rPr>
          <w:sz w:val="20"/>
          <w:szCs w:val="20"/>
        </w:rPr>
        <w:t xml:space="preserve">Dye-sensitized solar cells (DSSCs) are considered as third generation photovoltaic devices with high potentials that have recently experienced breakthrough developments as part of the new environmentally sustainable photovoltaic technologies after the publication by O’Regan and Gra¨tzel in 1991, though; the idea dated back to the 19th century (Carella </w:t>
      </w:r>
      <w:r>
        <w:rPr>
          <w:i/>
          <w:sz w:val="20"/>
          <w:szCs w:val="20"/>
        </w:rPr>
        <w:t>et al.,</w:t>
      </w:r>
      <w:r>
        <w:rPr>
          <w:sz w:val="20"/>
          <w:szCs w:val="20"/>
        </w:rPr>
        <w:t xml:space="preserve"> 2018; O’Regan and Gra¨tzel, 1991).</w:t>
      </w:r>
    </w:p>
    <w:p w14:paraId="27415F14">
      <w:pPr>
        <w:jc w:val="both"/>
        <w:rPr>
          <w:sz w:val="20"/>
          <w:szCs w:val="20"/>
        </w:rPr>
      </w:pPr>
      <w:r>
        <w:rPr>
          <w:sz w:val="20"/>
          <w:szCs w:val="20"/>
        </w:rPr>
        <w:t xml:space="preserve">For the last three decades, a dye-sensitized solar cell has drawn many types of research aimed at discovering their full capabilities (Rahman </w:t>
      </w:r>
      <w:r>
        <w:rPr>
          <w:i/>
          <w:sz w:val="20"/>
          <w:szCs w:val="20"/>
        </w:rPr>
        <w:t>et al.,</w:t>
      </w:r>
      <w:r>
        <w:rPr>
          <w:sz w:val="20"/>
          <w:szCs w:val="20"/>
        </w:rPr>
        <w:t xml:space="preserve"> 2023). A dye-sensitized solar cell consists of a union of suitable materials that use molecules to absorb visible light and separate the functions of light harvesting and charge transport (Hagfeldt </w:t>
      </w:r>
      <w:r>
        <w:rPr>
          <w:i/>
          <w:sz w:val="20"/>
          <w:szCs w:val="20"/>
        </w:rPr>
        <w:t>et al.,</w:t>
      </w:r>
      <w:r>
        <w:rPr>
          <w:sz w:val="20"/>
          <w:szCs w:val="20"/>
        </w:rPr>
        <w:t xml:space="preserve"> 2010). Another important advantage of DSSC is that the materials can be tailored on the molecular level (sensitizer) or nanoscale (TiO</w:t>
      </w:r>
      <w:r>
        <w:rPr>
          <w:sz w:val="20"/>
          <w:szCs w:val="20"/>
          <w:vertAlign w:val="subscript"/>
        </w:rPr>
        <w:t>2</w:t>
      </w:r>
      <w:r>
        <w:rPr>
          <w:sz w:val="20"/>
          <w:szCs w:val="20"/>
        </w:rPr>
        <w:t xml:space="preserve"> film) and also in electrolyte composition (Kaur </w:t>
      </w:r>
      <w:r>
        <w:rPr>
          <w:i/>
          <w:sz w:val="20"/>
          <w:szCs w:val="20"/>
        </w:rPr>
        <w:t>et al.,</w:t>
      </w:r>
      <w:r>
        <w:rPr>
          <w:sz w:val="20"/>
          <w:szCs w:val="20"/>
        </w:rPr>
        <w:t xml:space="preserve"> 2023). The components of the device and recent advances regarding the sensitizers will be herein presented.</w:t>
      </w:r>
    </w:p>
    <w:p w14:paraId="11E95BF5">
      <w:pPr>
        <w:pStyle w:val="2"/>
        <w:spacing w:before="0"/>
        <w:jc w:val="both"/>
        <w:rPr>
          <w:rFonts w:ascii="Times New Roman" w:hAnsi="Times New Roman" w:cs="Times New Roman"/>
          <w:color w:val="auto"/>
          <w:sz w:val="20"/>
          <w:szCs w:val="20"/>
        </w:rPr>
      </w:pPr>
      <w:bookmarkStart w:id="8" w:name="_Toc177051973"/>
      <w:r>
        <w:rPr>
          <w:rFonts w:ascii="Times New Roman" w:hAnsi="Times New Roman" w:cs="Times New Roman"/>
          <w:color w:val="auto"/>
          <w:sz w:val="20"/>
          <w:szCs w:val="20"/>
        </w:rPr>
        <w:t>DSSCs working principle</w:t>
      </w:r>
      <w:bookmarkEnd w:id="8"/>
    </w:p>
    <w:p w14:paraId="6180ECF4">
      <w:pPr>
        <w:jc w:val="center"/>
        <w:rPr>
          <w:b/>
          <w:sz w:val="20"/>
          <w:szCs w:val="20"/>
        </w:rPr>
        <w:sectPr>
          <w:headerReference r:id="rId5" w:type="default"/>
          <w:footerReference r:id="rId6" w:type="default"/>
          <w:type w:val="continuous"/>
          <w:pgSz w:w="12240" w:h="15840"/>
          <w:pgMar w:top="1440" w:right="1440" w:bottom="1440" w:left="1440" w:header="720" w:footer="720" w:gutter="0"/>
          <w:cols w:space="227" w:num="2"/>
          <w:docGrid w:linePitch="299" w:charSpace="0"/>
        </w:sectPr>
      </w:pPr>
    </w:p>
    <w:p w14:paraId="2A0F2848">
      <w:pPr>
        <w:jc w:val="center"/>
        <w:rPr>
          <w:b/>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689600" cy="25082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tretch>
                      <a:fillRect/>
                    </a:stretch>
                  </pic:blipFill>
                  <pic:spPr>
                    <a:xfrm>
                      <a:off x="0" y="0"/>
                      <a:ext cx="5689900" cy="2508382"/>
                    </a:xfrm>
                    <a:prstGeom prst="rect">
                      <a:avLst/>
                    </a:prstGeom>
                  </pic:spPr>
                </pic:pic>
              </a:graphicData>
            </a:graphic>
          </wp:inline>
        </w:drawing>
      </w:r>
    </w:p>
    <w:p w14:paraId="407989BD">
      <w:pPr>
        <w:jc w:val="center"/>
        <w:rPr>
          <w:b/>
          <w:sz w:val="20"/>
          <w:szCs w:val="20"/>
        </w:rPr>
      </w:pPr>
    </w:p>
    <w:p w14:paraId="22890B41">
      <w:pPr>
        <w:jc w:val="center"/>
        <w:rPr>
          <w:b/>
          <w:sz w:val="20"/>
          <w:szCs w:val="20"/>
        </w:rPr>
        <w:sectPr>
          <w:type w:val="continuous"/>
          <w:pgSz w:w="12240" w:h="15840"/>
          <w:pgMar w:top="1440" w:right="1440" w:bottom="1440" w:left="1440" w:header="720" w:footer="720" w:gutter="0"/>
          <w:cols w:space="227" w:num="2"/>
          <w:docGrid w:linePitch="299" w:charSpace="0"/>
        </w:sectPr>
      </w:pPr>
    </w:p>
    <w:p w14:paraId="7E817FD2">
      <w:pPr>
        <w:jc w:val="center"/>
        <w:rPr>
          <w:b/>
          <w:sz w:val="20"/>
          <w:szCs w:val="20"/>
        </w:rPr>
        <w:sectPr>
          <w:type w:val="continuous"/>
          <w:pgSz w:w="12240" w:h="15840"/>
          <w:pgMar w:top="1440" w:right="1440" w:bottom="1440" w:left="1440" w:header="720" w:footer="720" w:gutter="0"/>
          <w:cols w:space="227" w:num="1"/>
          <w:docGrid w:linePitch="299" w:charSpace="0"/>
        </w:sectPr>
      </w:pPr>
      <w:r>
        <w:rPr>
          <w:b/>
          <w:sz w:val="20"/>
          <w:szCs w:val="20"/>
        </w:rPr>
        <w:t>Fig.1. Illustration of the working principle of DSSC</w:t>
      </w:r>
    </w:p>
    <w:p w14:paraId="27597FB9">
      <w:pPr>
        <w:jc w:val="both"/>
        <w:rPr>
          <w:sz w:val="20"/>
          <w:szCs w:val="20"/>
        </w:rPr>
      </w:pPr>
      <w:r>
        <w:rPr>
          <w:sz w:val="20"/>
          <w:szCs w:val="20"/>
        </w:rPr>
        <w:t>Firstly, when a photon is absorbed, the photosensitizer (S) transitions to its electronically excited state (S*) (equation 1). Subsequently, the excited photosensitizer (S*) can transfer an electron to the conduction band of the semiconductor TiO</w:t>
      </w:r>
      <w:r>
        <w:rPr>
          <w:sz w:val="20"/>
          <w:szCs w:val="20"/>
          <w:vertAlign w:val="subscript"/>
        </w:rPr>
        <w:t>2</w:t>
      </w:r>
      <w:r>
        <w:rPr>
          <w:sz w:val="20"/>
          <w:szCs w:val="20"/>
        </w:rPr>
        <w:t xml:space="preserve"> (equation 2) (Nalçakan </w:t>
      </w:r>
      <w:r>
        <w:rPr>
          <w:i/>
          <w:sz w:val="20"/>
          <w:szCs w:val="20"/>
        </w:rPr>
        <w:t>et al.,</w:t>
      </w:r>
      <w:r>
        <w:rPr>
          <w:sz w:val="20"/>
          <w:szCs w:val="20"/>
        </w:rPr>
        <w:t xml:space="preserve"> 2023; Li </w:t>
      </w:r>
      <w:r>
        <w:rPr>
          <w:i/>
          <w:sz w:val="20"/>
          <w:szCs w:val="20"/>
        </w:rPr>
        <w:t>et al.,</w:t>
      </w:r>
      <w:r>
        <w:rPr>
          <w:sz w:val="20"/>
          <w:szCs w:val="20"/>
        </w:rPr>
        <w:t xml:space="preserve"> 2015). This electron then moves through the mesoporous network of particles, reaching the back-collector electrode via the external load. Meanwhile, the oxidized sensitizer undergoes rapid regeneration back to its ground state facilitated by the redox mediator iodide (equation 3) This process results in a regenerative and stable photovoltaic energy conversion system without any net chemical reaction. The overall efficiency of the device depends on the compatibility and optimization of each constituent. </w:t>
      </w:r>
    </w:p>
    <w:p w14:paraId="2F85AF01">
      <w:pPr>
        <w:rPr>
          <w:sz w:val="20"/>
          <w:szCs w:val="20"/>
        </w:rPr>
      </w:pPr>
      <w:r>
        <w:rPr>
          <w:sz w:val="20"/>
          <w:szCs w:val="20"/>
          <w:lang w:eastAsia="en-US"/>
        </w:rPr>
        <w:drawing>
          <wp:inline distT="0" distB="0" distL="0" distR="0">
            <wp:extent cx="2995295"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4"/>
                    <a:stretch>
                      <a:fillRect/>
                    </a:stretch>
                  </pic:blipFill>
                  <pic:spPr>
                    <a:xfrm>
                      <a:off x="0" y="0"/>
                      <a:ext cx="3016192" cy="537121"/>
                    </a:xfrm>
                    <a:prstGeom prst="rect">
                      <a:avLst/>
                    </a:prstGeom>
                  </pic:spPr>
                </pic:pic>
              </a:graphicData>
            </a:graphic>
          </wp:inline>
        </w:drawing>
      </w:r>
      <w:r>
        <w:rPr>
          <w:sz w:val="20"/>
          <w:szCs w:val="20"/>
        </w:rPr>
        <w:tab/>
      </w:r>
      <w:r>
        <w:rPr>
          <w:sz w:val="20"/>
          <w:szCs w:val="20"/>
        </w:rPr>
        <w:tab/>
      </w:r>
      <w:r>
        <w:rPr>
          <w:sz w:val="20"/>
          <w:szCs w:val="20"/>
        </w:rPr>
        <w:tab/>
      </w:r>
    </w:p>
    <w:p w14:paraId="36978830">
      <w:pPr>
        <w:jc w:val="both"/>
        <w:rPr>
          <w:sz w:val="20"/>
          <w:szCs w:val="20"/>
        </w:rPr>
      </w:pPr>
      <w:r>
        <w:rPr>
          <w:sz w:val="20"/>
          <w:szCs w:val="20"/>
        </w:rPr>
        <w:t>The recombination of the injected electron of the titania layer takes place either with the oxidized sensitizer (equationn 4) or with the oxidized redox couple at the TiO</w:t>
      </w:r>
      <w:r>
        <w:rPr>
          <w:sz w:val="20"/>
          <w:szCs w:val="20"/>
          <w:vertAlign w:val="subscript"/>
        </w:rPr>
        <w:t>2</w:t>
      </w:r>
      <w:r>
        <w:rPr>
          <w:sz w:val="20"/>
          <w:szCs w:val="20"/>
        </w:rPr>
        <w:t xml:space="preserve"> surface (equation 5) (Mohammad </w:t>
      </w:r>
      <w:r>
        <w:rPr>
          <w:i/>
          <w:sz w:val="20"/>
          <w:szCs w:val="20"/>
        </w:rPr>
        <w:t>et al.,</w:t>
      </w:r>
      <w:r>
        <w:rPr>
          <w:sz w:val="20"/>
          <w:szCs w:val="20"/>
        </w:rPr>
        <w:t xml:space="preserve"> 2015). </w:t>
      </w:r>
    </w:p>
    <w:p w14:paraId="6E507692">
      <w:pPr>
        <w:rPr>
          <w:sz w:val="20"/>
          <w:szCs w:val="20"/>
        </w:rPr>
      </w:pPr>
      <w:r>
        <w:rPr>
          <w:sz w:val="20"/>
          <w:szCs w:val="20"/>
          <w:lang w:eastAsia="en-US"/>
        </w:rPr>
        <w:drawing>
          <wp:inline distT="0" distB="0" distL="0" distR="0">
            <wp:extent cx="2874645" cy="488950"/>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
                    <a:stretch>
                      <a:fillRect/>
                    </a:stretch>
                  </pic:blipFill>
                  <pic:spPr>
                    <a:xfrm>
                      <a:off x="0" y="0"/>
                      <a:ext cx="2888844" cy="491300"/>
                    </a:xfrm>
                    <a:prstGeom prst="rect">
                      <a:avLst/>
                    </a:prstGeom>
                  </pic:spPr>
                </pic:pic>
              </a:graphicData>
            </a:graphic>
          </wp:inline>
        </w:drawing>
      </w:r>
    </w:p>
    <w:p w14:paraId="1FE1B6C7">
      <w:pPr>
        <w:jc w:val="both"/>
        <w:rPr>
          <w:sz w:val="20"/>
          <w:szCs w:val="20"/>
        </w:rPr>
      </w:pPr>
      <w:r>
        <mc:AlternateContent>
          <mc:Choice Requires="wps">
            <w:drawing>
              <wp:anchor distT="0" distB="0" distL="114300" distR="114300" simplePos="0" relativeHeight="251668480" behindDoc="0" locked="0" layoutInCell="1" allowOverlap="1">
                <wp:simplePos x="0" y="0"/>
                <wp:positionH relativeFrom="column">
                  <wp:posOffset>2838450</wp:posOffset>
                </wp:positionH>
                <wp:positionV relativeFrom="paragraph">
                  <wp:posOffset>2069465</wp:posOffset>
                </wp:positionV>
                <wp:extent cx="495300" cy="316230"/>
                <wp:effectExtent l="0" t="0" r="0" b="0"/>
                <wp:wrapNone/>
                <wp:docPr id="293886869"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B0176E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162.95pt;height:24.9pt;width:39pt;z-index:251668480;mso-width-relative:page;mso-height-relative:page;" filled="f" stroked="f" coordsize="21600,21600" o:gfxdata="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xxXv9sAAAALAQAADwAAAAAAAAABACAAAAAiAAAAZHJzL2Rvd25yZXYu&#10;eG1sUEsBAhQAFAAAAAgAh07iQMIlytUxAgAAbAQAAA4AAAAAAAAAAQAgAAAAKgEAAGRycy9lMm9E&#10;b2MueG1sUEsFBgAAAAAGAAYAWQEAAM0FAAAAAA==&#10;">
                <v:fill on="f" focussize="0,0"/>
                <v:stroke on="f" weight="0.5pt"/>
                <v:imagedata o:title=""/>
                <o:lock v:ext="edit" aspectratio="f"/>
                <v:textbox>
                  <w:txbxContent>
                    <w:p w14:paraId="0B0176E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268</w:t>
                      </w:r>
                    </w:p>
                  </w:txbxContent>
                </v:textbox>
              </v:shape>
            </w:pict>
          </mc:Fallback>
        </mc:AlternateContent>
      </w:r>
      <w:r>
        <w:rPr>
          <w:sz w:val="20"/>
          <w:szCs w:val="20"/>
        </w:rPr>
        <w:t xml:space="preserve">If only the cited reactions occur, sunlight effectively drives electrons through the external circuit, resulting in the direct conversion of sunlight into electricity (Ganesh, 2015). However, it's important to note that the recombination of injected electrons is unavoidable during the electron transfer process in DSSCs (Mahalingam and Abdullah, 2016). Consequently, extensive research efforts have been dedicated to addressing this recombination issue. Finding effective ways to suppress the recombination of photocarriers remains one of the most daunting challenges in enhancing the conversion efficiency of DSSCs in future investigations (Benko </w:t>
      </w:r>
      <w:r>
        <w:rPr>
          <w:i/>
          <w:sz w:val="20"/>
          <w:szCs w:val="20"/>
        </w:rPr>
        <w:t>et al.,</w:t>
      </w:r>
      <w:r>
        <w:rPr>
          <w:sz w:val="20"/>
          <w:szCs w:val="20"/>
        </w:rPr>
        <w:t xml:space="preserve"> 2001).</w:t>
      </w:r>
    </w:p>
    <w:p w14:paraId="312DADF6">
      <w:pPr>
        <w:pStyle w:val="2"/>
        <w:spacing w:before="0"/>
        <w:jc w:val="both"/>
        <w:rPr>
          <w:rFonts w:ascii="Times New Roman" w:hAnsi="Times New Roman" w:cs="Times New Roman"/>
          <w:color w:val="auto"/>
          <w:sz w:val="20"/>
          <w:szCs w:val="20"/>
        </w:rPr>
      </w:pPr>
      <w:bookmarkStart w:id="9" w:name="_Toc177051974"/>
      <w:r>
        <w:rPr>
          <w:rFonts w:ascii="Times New Roman" w:hAnsi="Times New Roman" w:cs="Times New Roman"/>
          <w:color w:val="auto"/>
          <w:sz w:val="20"/>
          <w:szCs w:val="20"/>
        </w:rPr>
        <w:t>Electron injection</w:t>
      </w:r>
      <w:bookmarkEnd w:id="9"/>
    </w:p>
    <w:p w14:paraId="40777CA6">
      <w:pPr>
        <w:jc w:val="both"/>
        <w:rPr>
          <w:sz w:val="20"/>
          <w:szCs w:val="20"/>
        </w:rPr>
      </w:pPr>
      <w:r>
        <w:rPr>
          <w:sz w:val="20"/>
          <w:szCs w:val="20"/>
        </w:rPr>
        <w:t xml:space="preserve">Early research efforts have focused on understanding how electrons are injected from the molecular excited state of the photosensitizer into the conduction band of the nanocrystalline metal oxide in DSSCs. These studies emphasize the critical role of an ultrafast electron injection process in achieving efficient DSSC performance (Glinka </w:t>
      </w:r>
      <w:r>
        <w:rPr>
          <w:i/>
          <w:sz w:val="20"/>
          <w:szCs w:val="20"/>
        </w:rPr>
        <w:t>et al.,</w:t>
      </w:r>
      <w:r>
        <w:rPr>
          <w:sz w:val="20"/>
          <w:szCs w:val="20"/>
        </w:rPr>
        <w:t xml:space="preserve"> 2021; Hara </w:t>
      </w:r>
      <w:r>
        <w:rPr>
          <w:i/>
          <w:sz w:val="20"/>
          <w:szCs w:val="20"/>
        </w:rPr>
        <w:t>et al.,</w:t>
      </w:r>
      <w:r>
        <w:rPr>
          <w:sz w:val="20"/>
          <w:szCs w:val="20"/>
        </w:rPr>
        <w:t xml:space="preserve"> 2005; Kitamura </w:t>
      </w:r>
      <w:r>
        <w:rPr>
          <w:i/>
          <w:sz w:val="20"/>
          <w:szCs w:val="20"/>
        </w:rPr>
        <w:t>et al.,</w:t>
      </w:r>
      <w:r>
        <w:rPr>
          <w:sz w:val="20"/>
          <w:szCs w:val="20"/>
        </w:rPr>
        <w:t xml:space="preserve"> 2004; Zimmermann </w:t>
      </w:r>
      <w:r>
        <w:rPr>
          <w:i/>
          <w:sz w:val="20"/>
          <w:szCs w:val="20"/>
        </w:rPr>
        <w:t>et al.,</w:t>
      </w:r>
      <w:r>
        <w:rPr>
          <w:sz w:val="20"/>
          <w:szCs w:val="20"/>
        </w:rPr>
        <w:t xml:space="preserve"> 2001). Generally, the mechanism behind ultrafast electron injection is often explained by the strong electronic overlap between the lowest unoccupied molecular orbital (LUMO) orbitals of the dye and the acceptor states on the metal oxide electrode, as well as factors like the distance between the dye and the acceptor (TiO</w:t>
      </w:r>
      <w:r>
        <w:rPr>
          <w:sz w:val="20"/>
          <w:szCs w:val="20"/>
          <w:vertAlign w:val="subscript"/>
        </w:rPr>
        <w:t>2</w:t>
      </w:r>
      <w:r>
        <w:rPr>
          <w:sz w:val="20"/>
          <w:szCs w:val="20"/>
        </w:rPr>
        <w:t xml:space="preserve">), and dye aggregation (Samanta </w:t>
      </w:r>
      <w:r>
        <w:rPr>
          <w:i/>
          <w:sz w:val="20"/>
          <w:szCs w:val="20"/>
        </w:rPr>
        <w:t>et al.,</w:t>
      </w:r>
      <w:r>
        <w:rPr>
          <w:sz w:val="20"/>
          <w:szCs w:val="20"/>
        </w:rPr>
        <w:t xml:space="preserve"> 2020; Asbury </w:t>
      </w:r>
      <w:r>
        <w:rPr>
          <w:i/>
          <w:sz w:val="20"/>
          <w:szCs w:val="20"/>
        </w:rPr>
        <w:t>et al.,</w:t>
      </w:r>
      <w:r>
        <w:rPr>
          <w:sz w:val="20"/>
          <w:szCs w:val="20"/>
        </w:rPr>
        <w:t xml:space="preserve"> 2003; Tachibana </w:t>
      </w:r>
      <w:r>
        <w:rPr>
          <w:i/>
          <w:sz w:val="20"/>
          <w:szCs w:val="20"/>
        </w:rPr>
        <w:t>et al.,</w:t>
      </w:r>
      <w:r>
        <w:rPr>
          <w:sz w:val="20"/>
          <w:szCs w:val="20"/>
        </w:rPr>
        <w:t xml:space="preserve"> 2002; He </w:t>
      </w:r>
      <w:r>
        <w:rPr>
          <w:i/>
          <w:sz w:val="20"/>
          <w:szCs w:val="20"/>
        </w:rPr>
        <w:t>et al.,</w:t>
      </w:r>
      <w:r>
        <w:rPr>
          <w:sz w:val="20"/>
          <w:szCs w:val="20"/>
        </w:rPr>
        <w:t xml:space="preserve"> 2002; Liu </w:t>
      </w:r>
      <w:r>
        <w:rPr>
          <w:i/>
          <w:sz w:val="20"/>
          <w:szCs w:val="20"/>
        </w:rPr>
        <w:t>et al.,</w:t>
      </w:r>
      <w:r>
        <w:rPr>
          <w:sz w:val="20"/>
          <w:szCs w:val="20"/>
        </w:rPr>
        <w:t xml:space="preserve"> 1997).</w:t>
      </w:r>
    </w:p>
    <w:p w14:paraId="42F5D4AE">
      <w:pPr>
        <w:jc w:val="both"/>
        <w:rPr>
          <w:sz w:val="20"/>
          <w:szCs w:val="20"/>
        </w:rPr>
      </w:pPr>
      <w:r>
        <w:rPr>
          <w:sz w:val="20"/>
          <w:szCs w:val="20"/>
        </w:rPr>
        <w:t>Large π-conjugated organic sensitizers such as coumarins and perylenes tend to aggregate on the TiO</w:t>
      </w:r>
      <w:r>
        <w:rPr>
          <w:sz w:val="20"/>
          <w:szCs w:val="20"/>
          <w:vertAlign w:val="subscript"/>
        </w:rPr>
        <w:t>2</w:t>
      </w:r>
      <w:r>
        <w:rPr>
          <w:sz w:val="20"/>
          <w:szCs w:val="20"/>
        </w:rPr>
        <w:t xml:space="preserve"> surface, resulting in lower electron injection efficiency and corresponding lower power conversion efficiency (PCE) due to significant quenching of dye excited states. To address this, one approach involves adsorbing dyes in solutions containing co-adsorbates like chenodeoxycholic acid, which helps disperse dye aggregates on the TiO</w:t>
      </w:r>
      <w:r>
        <w:rPr>
          <w:sz w:val="20"/>
          <w:szCs w:val="20"/>
          <w:vertAlign w:val="subscript"/>
        </w:rPr>
        <w:t>2</w:t>
      </w:r>
      <w:r>
        <w:rPr>
          <w:sz w:val="20"/>
          <w:szCs w:val="20"/>
        </w:rPr>
        <w:t xml:space="preserve"> surface, leading to improved cell efficiencies (Hua </w:t>
      </w:r>
      <w:r>
        <w:rPr>
          <w:i/>
          <w:sz w:val="20"/>
          <w:szCs w:val="20"/>
        </w:rPr>
        <w:t>et al.,</w:t>
      </w:r>
      <w:r>
        <w:rPr>
          <w:sz w:val="20"/>
          <w:szCs w:val="20"/>
        </w:rPr>
        <w:t xml:space="preserve"> 2013), Additionally, incorporating sterically hindered substituents (bulky groups) into dye structures, such as long alkyl chains and aromatic units, effectively suppresses dye aggregation by disrupting intermolecular π–π stacking interactions (Cio </w:t>
      </w:r>
      <w:r>
        <w:rPr>
          <w:i/>
          <w:sz w:val="20"/>
          <w:szCs w:val="20"/>
        </w:rPr>
        <w:t>et al.,</w:t>
      </w:r>
      <w:r>
        <w:rPr>
          <w:sz w:val="20"/>
          <w:szCs w:val="20"/>
        </w:rPr>
        <w:t xml:space="preserve"> 2009).</w:t>
      </w:r>
    </w:p>
    <w:p w14:paraId="6BECF206">
      <w:pPr>
        <w:pStyle w:val="2"/>
        <w:spacing w:before="0"/>
        <w:jc w:val="both"/>
        <w:rPr>
          <w:rFonts w:ascii="Times New Roman" w:hAnsi="Times New Roman" w:cs="Times New Roman"/>
          <w:color w:val="auto"/>
          <w:sz w:val="20"/>
          <w:szCs w:val="20"/>
        </w:rPr>
      </w:pPr>
      <w:bookmarkStart w:id="10" w:name="_Toc177051975"/>
      <w:r>
        <w:rPr>
          <w:rFonts w:ascii="Times New Roman" w:hAnsi="Times New Roman" w:cs="Times New Roman"/>
          <w:color w:val="auto"/>
          <w:sz w:val="20"/>
          <w:szCs w:val="20"/>
        </w:rPr>
        <w:t>Charge recombination</w:t>
      </w:r>
      <w:bookmarkEnd w:id="10"/>
    </w:p>
    <w:p w14:paraId="7C0DAFB6">
      <w:pPr>
        <w:jc w:val="both"/>
        <w:rPr>
          <w:sz w:val="20"/>
          <w:szCs w:val="20"/>
        </w:rPr>
      </w:pPr>
      <w:r>
        <w:rPr>
          <w:sz w:val="20"/>
          <w:szCs w:val="20"/>
        </w:rPr>
        <w:t>The recombination reaction in dye-sensitized TiO</w:t>
      </w:r>
      <w:r>
        <w:rPr>
          <w:sz w:val="20"/>
          <w:szCs w:val="20"/>
          <w:vertAlign w:val="subscript"/>
        </w:rPr>
        <w:t>2</w:t>
      </w:r>
      <w:r>
        <w:rPr>
          <w:sz w:val="20"/>
          <w:szCs w:val="20"/>
        </w:rPr>
        <w:t xml:space="preserve"> nanoparticles, also known as back electron transfer, occurs within the time domain of hundreds of microseconds to milliseconds (Du and Weng, 2007). This charge recombination significantly impairs photovoltaic performance. To mitigate this drawback, extensive efforts have been dedicated to optimizing the molecular structure of organic dyes by controlling their molecular orientation and assembly modes on the TiO</w:t>
      </w:r>
      <w:r>
        <w:rPr>
          <w:sz w:val="20"/>
          <w:szCs w:val="20"/>
          <w:vertAlign w:val="subscript"/>
        </w:rPr>
        <w:t>2</w:t>
      </w:r>
      <w:r>
        <w:rPr>
          <w:sz w:val="20"/>
          <w:szCs w:val="20"/>
        </w:rPr>
        <w:t xml:space="preserve"> surface (Sil </w:t>
      </w:r>
      <w:r>
        <w:rPr>
          <w:i/>
          <w:sz w:val="20"/>
          <w:szCs w:val="20"/>
        </w:rPr>
        <w:t>et al.,</w:t>
      </w:r>
      <w:r>
        <w:rPr>
          <w:sz w:val="20"/>
          <w:szCs w:val="20"/>
        </w:rPr>
        <w:t xml:space="preserve"> 2024).</w:t>
      </w:r>
    </w:p>
    <w:p w14:paraId="341AC9BC">
      <w:pPr>
        <w:jc w:val="both"/>
        <w:rPr>
          <w:sz w:val="20"/>
          <w:szCs w:val="20"/>
        </w:rPr>
      </w:pPr>
      <w:r>
        <w:rPr>
          <w:sz w:val="20"/>
          <w:szCs w:val="20"/>
        </w:rPr>
        <w:t>Studies indicate that introducing bulky groups, long hydrophobic alkyl, and alkoxy chains on the donor (D) moiety, or/and π-bridges effectively obstruct the approach of hydrophilic I</w:t>
      </w:r>
      <w:r>
        <w:rPr>
          <w:sz w:val="20"/>
          <w:szCs w:val="20"/>
          <w:vertAlign w:val="subscript"/>
        </w:rPr>
        <w:t>3</w:t>
      </w:r>
      <w:r>
        <w:rPr>
          <w:sz w:val="20"/>
          <w:szCs w:val="20"/>
          <w:vertAlign w:val="superscript"/>
        </w:rPr>
        <w:t>−</w:t>
      </w:r>
      <w:r>
        <w:rPr>
          <w:sz w:val="20"/>
          <w:szCs w:val="20"/>
        </w:rPr>
        <w:t xml:space="preserve"> ions to the TiO</w:t>
      </w:r>
      <w:r>
        <w:rPr>
          <w:sz w:val="20"/>
          <w:szCs w:val="20"/>
          <w:vertAlign w:val="subscript"/>
        </w:rPr>
        <w:t>2</w:t>
      </w:r>
      <w:r>
        <w:rPr>
          <w:sz w:val="20"/>
          <w:szCs w:val="20"/>
        </w:rPr>
        <w:t xml:space="preserve"> surface, thereby suppressing charge recombination. This leads to an increase in electron lifetime and Voc value (Hua, 2014). </w:t>
      </w:r>
    </w:p>
    <w:p w14:paraId="02BA0B71">
      <w:pPr>
        <w:pStyle w:val="2"/>
        <w:spacing w:before="0"/>
        <w:jc w:val="both"/>
        <w:rPr>
          <w:rFonts w:ascii="Times New Roman" w:hAnsi="Times New Roman" w:cs="Times New Roman"/>
          <w:color w:val="auto"/>
          <w:sz w:val="20"/>
          <w:szCs w:val="20"/>
        </w:rPr>
      </w:pPr>
      <w:bookmarkStart w:id="11" w:name="_Toc177051976"/>
      <w:r>
        <w:rPr>
          <w:rFonts w:ascii="Times New Roman" w:hAnsi="Times New Roman" w:cs="Times New Roman"/>
          <w:color w:val="auto"/>
          <w:sz w:val="20"/>
          <w:szCs w:val="20"/>
        </w:rPr>
        <w:t>Dye regeneration</w:t>
      </w:r>
      <w:bookmarkEnd w:id="11"/>
    </w:p>
    <w:p w14:paraId="36558EDF">
      <w:pPr>
        <w:jc w:val="both"/>
        <w:rPr>
          <w:sz w:val="20"/>
          <w:szCs w:val="20"/>
        </w:rPr>
      </w:pPr>
      <w:r>
        <w:rPr>
          <w:sz w:val="20"/>
          <w:szCs w:val="20"/>
        </w:rPr>
        <w:t xml:space="preserve">Efficient dye regeneration is essential for the optimal functioning of a DSSC. In a DSSC, the electrolyte contains a redox mediator (Wang </w:t>
      </w:r>
      <w:r>
        <w:rPr>
          <w:i/>
          <w:sz w:val="20"/>
          <w:szCs w:val="20"/>
        </w:rPr>
        <w:t>et al.,</w:t>
      </w:r>
      <w:r>
        <w:rPr>
          <w:sz w:val="20"/>
          <w:szCs w:val="20"/>
        </w:rPr>
        <w:t xml:space="preserve"> 2012). The reduced form of this mediator must regenerate the dye ground state before back electron transfer can occur. Ideally, this redox mediator should not absorb light to prevent losses in photon-to-current efficiency (Saygili </w:t>
      </w:r>
      <w:r>
        <w:rPr>
          <w:i/>
          <w:sz w:val="20"/>
          <w:szCs w:val="20"/>
        </w:rPr>
        <w:t>et al.,</w:t>
      </w:r>
      <w:r>
        <w:rPr>
          <w:sz w:val="20"/>
          <w:szCs w:val="20"/>
        </w:rPr>
        <w:t xml:space="preserve"> 2019). The initial successful interception of a Ru(III) complex cation by iodide was attributed to a mechanism involving the prior formation of ion pairs (Swords </w:t>
      </w:r>
      <w:r>
        <w:rPr>
          <w:i/>
          <w:sz w:val="20"/>
          <w:szCs w:val="20"/>
        </w:rPr>
        <w:t>et al.,</w:t>
      </w:r>
      <w:r>
        <w:rPr>
          <w:sz w:val="20"/>
          <w:szCs w:val="20"/>
        </w:rPr>
        <w:t xml:space="preserve"> 2015; Troian-Gautier </w:t>
      </w:r>
      <w:r>
        <w:rPr>
          <w:i/>
          <w:sz w:val="20"/>
          <w:szCs w:val="20"/>
        </w:rPr>
        <w:t>et al.,</w:t>
      </w:r>
      <w:r>
        <w:rPr>
          <w:sz w:val="20"/>
          <w:szCs w:val="20"/>
        </w:rPr>
        <w:t xml:space="preserve"> 2016; Fitzmaurice and Frei, 1991).</w:t>
      </w:r>
    </w:p>
    <w:p w14:paraId="0B56C9EC">
      <w:pPr>
        <w:jc w:val="both"/>
        <w:rPr>
          <w:sz w:val="20"/>
          <w:szCs w:val="20"/>
        </w:rPr>
      </w:pPr>
      <w:r>
        <w:rPr>
          <w:sz w:val="20"/>
          <w:szCs w:val="20"/>
        </w:rPr>
        <w:t>In general, effective regeneration of oxidized sensitizer occurs when the oxidation potential of a sensitizer is more positive than the redox potential of triiodide/iodide (I</w:t>
      </w:r>
      <w:r>
        <w:rPr>
          <w:sz w:val="20"/>
          <w:szCs w:val="20"/>
          <w:vertAlign w:val="subscript"/>
        </w:rPr>
        <w:t>3</w:t>
      </w:r>
      <w:r>
        <w:rPr>
          <w:sz w:val="20"/>
          <w:szCs w:val="20"/>
        </w:rPr>
        <w:t xml:space="preserve">ˉ/Iˉ) (0.4 V). Many organic oxidized sensitizers can be rapidly regenerated by iodide, leading to good photovoltaic performances (Hua, 2014). However, the main drawbacks of using iodide-based liquid electrolytes are potential device leakages and the corrosive nature of iodine (Ebenezer and Dotter, 2023). Consequently, efforts have been directed towards replacing this liquid electrolyte with alternative redox systems (Li </w:t>
      </w:r>
      <w:r>
        <w:rPr>
          <w:i/>
          <w:sz w:val="20"/>
          <w:szCs w:val="20"/>
        </w:rPr>
        <w:t>et al.,</w:t>
      </w:r>
      <w:r>
        <w:rPr>
          <w:sz w:val="20"/>
          <w:szCs w:val="20"/>
        </w:rPr>
        <w:t xml:space="preserve"> 2020).</w:t>
      </w:r>
    </w:p>
    <w:p w14:paraId="1B8D231A">
      <w:pPr>
        <w:jc w:val="both"/>
        <w:rPr>
          <w:sz w:val="20"/>
          <w:szCs w:val="20"/>
        </w:rPr>
      </w:pPr>
      <w:r>
        <w:rPr>
          <w:sz w:val="20"/>
          <w:szCs w:val="20"/>
        </w:rPr>
        <w:t>Fast dye regeneration kinetics have also been observed for new one-electron redox mediators based on certain cobalt(II)/cobalt(III) complexes in DSSCs. For instance, Cobalt(II)-bis[2,6-bis(1′-butylbenzimidazol-2′-yl)-pyridine] (Co(dbbip)</w:t>
      </w:r>
      <w:r>
        <w:rPr>
          <w:sz w:val="20"/>
          <w:szCs w:val="20"/>
          <w:vertAlign w:val="subscript"/>
        </w:rPr>
        <w:t>2</w:t>
      </w:r>
      <w:r>
        <w:rPr>
          <w:sz w:val="20"/>
          <w:szCs w:val="20"/>
          <w:vertAlign w:val="superscript"/>
        </w:rPr>
        <w:t>2+</w:t>
      </w:r>
      <w:r>
        <w:rPr>
          <w:sz w:val="20"/>
          <w:szCs w:val="20"/>
        </w:rPr>
        <w:t xml:space="preserve">) exhibited dye regeneration times in the microseconds range and regeneration efficiencies exceeding 0.9 (Nusbaumer </w:t>
      </w:r>
      <w:r>
        <w:rPr>
          <w:i/>
          <w:sz w:val="20"/>
          <w:szCs w:val="20"/>
        </w:rPr>
        <w:t>et al.,</w:t>
      </w:r>
      <w:r>
        <w:rPr>
          <w:sz w:val="20"/>
          <w:szCs w:val="20"/>
        </w:rPr>
        <w:t xml:space="preserve"> 2001; Nusbaumer </w:t>
      </w:r>
      <w:r>
        <w:rPr>
          <w:i/>
          <w:sz w:val="20"/>
          <w:szCs w:val="20"/>
        </w:rPr>
        <w:t>et al.,</w:t>
      </w:r>
      <w:r>
        <w:rPr>
          <w:sz w:val="20"/>
          <w:szCs w:val="20"/>
        </w:rPr>
        <w:t xml:space="preserve"> 2003). The recombination dynamics between the injected electron and the oxidized mediator closely resemble those of the I</w:t>
      </w:r>
      <w:r>
        <w:rPr>
          <w:sz w:val="20"/>
          <w:szCs w:val="20"/>
          <w:vertAlign w:val="subscript"/>
        </w:rPr>
        <w:t>3</w:t>
      </w:r>
      <w:r>
        <w:rPr>
          <w:sz w:val="20"/>
          <w:szCs w:val="20"/>
        </w:rPr>
        <w:t>ˉ/Iˉ redox couple, making it a promising candidate to replace this widely used system in DSSCs.</w:t>
      </w:r>
    </w:p>
    <w:p w14:paraId="1B37E903">
      <w:pPr>
        <w:pStyle w:val="2"/>
        <w:spacing w:before="0"/>
        <w:jc w:val="both"/>
        <w:rPr>
          <w:rFonts w:ascii="Times New Roman" w:hAnsi="Times New Roman" w:cs="Times New Roman"/>
          <w:color w:val="auto"/>
          <w:sz w:val="20"/>
          <w:szCs w:val="20"/>
        </w:rPr>
      </w:pPr>
      <w:bookmarkStart w:id="12" w:name="_Toc177051977"/>
    </w:p>
    <w:p w14:paraId="1088510C">
      <w:pPr>
        <w:pStyle w:val="2"/>
        <w:spacing w:before="0"/>
        <w:jc w:val="both"/>
        <w:rPr>
          <w:rFonts w:ascii="Times New Roman" w:hAnsi="Times New Roman" w:cs="Times New Roman"/>
          <w:color w:val="auto"/>
          <w:sz w:val="20"/>
          <w:szCs w:val="20"/>
        </w:rPr>
      </w:pPr>
      <w:r>
        <w:rPr>
          <w:rFonts w:ascii="Times New Roman" w:hAnsi="Times New Roman" w:cs="Times New Roman"/>
          <w:color w:val="auto"/>
          <w:sz w:val="20"/>
          <w:szCs w:val="20"/>
        </w:rPr>
        <w:t>KEY EFFICIENCY PARAMETERS OF DSSCS</w:t>
      </w:r>
      <w:bookmarkEnd w:id="12"/>
    </w:p>
    <w:p w14:paraId="589A0077">
      <w:pPr>
        <w:jc w:val="both"/>
        <w:rPr>
          <w:sz w:val="20"/>
          <w:szCs w:val="20"/>
        </w:rPr>
      </w:pPr>
      <w:r>
        <w:rPr>
          <w:sz w:val="20"/>
          <w:szCs w:val="20"/>
        </w:rPr>
        <w:t>The performance of DSSCs relies on several experimentally measurable parameters, including incident-photo-current conversion efficiency (IPCE), photocurrent (Jsc), photovoltage (Voc), fill factor (ff), and overall solar energy to electricity conversion efficiency (η). These photovoltaic parameters are discussed below.</w:t>
      </w:r>
    </w:p>
    <w:p w14:paraId="2710BD88">
      <w:pPr>
        <w:pStyle w:val="2"/>
        <w:spacing w:before="0"/>
        <w:jc w:val="both"/>
        <w:rPr>
          <w:rFonts w:ascii="Times New Roman" w:hAnsi="Times New Roman" w:cs="Times New Roman"/>
          <w:color w:val="auto"/>
          <w:sz w:val="20"/>
          <w:szCs w:val="20"/>
        </w:rPr>
      </w:pPr>
      <w:bookmarkStart w:id="13" w:name="_Toc177051978"/>
      <w:r>
        <w:rPr>
          <w:rFonts w:ascii="Times New Roman" w:hAnsi="Times New Roman" w:cs="Times New Roman"/>
          <w:color w:val="auto"/>
          <w:sz w:val="20"/>
          <w:szCs w:val="20"/>
        </w:rPr>
        <w:t>Incident-photo-current conversion efficiency (IPCE)</w:t>
      </w:r>
      <w:bookmarkEnd w:id="13"/>
    </w:p>
    <w:p w14:paraId="4843DE40">
      <w:pPr>
        <w:jc w:val="both"/>
        <w:rPr>
          <w:sz w:val="20"/>
          <w:szCs w:val="20"/>
        </w:rPr>
      </w:pPr>
      <w:r>
        <w:rPr>
          <w:sz w:val="20"/>
          <w:szCs w:val="20"/>
        </w:rPr>
        <w:t>IPCE serves as a quantum-yield metric for the entire charge-injection collection process, evaluated using a single wavelength source. It is defined as the ratio of photo-electrons traversing the external load to the incident photons as a function of excitation wavelength. IPCE can be expressed as the product of light harvesting efficiency (LHE(λ) = 1 – 10^(-A)) at wavelength λ, the quantum yield of electron injection (Φinj) from the excited sensitizer into the conduction band of the TiO</w:t>
      </w:r>
      <w:r>
        <w:rPr>
          <w:sz w:val="20"/>
          <w:szCs w:val="20"/>
          <w:vertAlign w:val="subscript"/>
        </w:rPr>
        <w:t>2</w:t>
      </w:r>
      <w:r>
        <w:rPr>
          <w:sz w:val="20"/>
          <w:szCs w:val="20"/>
        </w:rPr>
        <w:t xml:space="preserve"> electrode, and the efficiency of electron collection (ηcoll) at the FTO glass (Chen </w:t>
      </w:r>
      <w:r>
        <w:rPr>
          <w:i/>
          <w:sz w:val="20"/>
          <w:szCs w:val="20"/>
        </w:rPr>
        <w:t>et al.,</w:t>
      </w:r>
      <w:r>
        <w:rPr>
          <w:sz w:val="20"/>
          <w:szCs w:val="20"/>
        </w:rPr>
        <w:t xml:space="preserve"> 2013).</w:t>
      </w:r>
    </w:p>
    <w:p w14:paraId="6EB220E7">
      <w:pPr>
        <w:jc w:val="both"/>
        <w:rPr>
          <w:sz w:val="20"/>
          <w:szCs w:val="20"/>
        </w:rPr>
      </w:pPr>
      <w:r>
        <w:rPr>
          <w:sz w:val="20"/>
          <w:szCs w:val="20"/>
        </w:rPr>
        <w:t>IPCE(λ) = LHE(λ) * Φinj * ηcoll (equation 6)</w:t>
      </w:r>
    </w:p>
    <w:p w14:paraId="42A52E16">
      <w:pPr>
        <w:jc w:val="both"/>
        <w:rPr>
          <w:sz w:val="20"/>
          <w:szCs w:val="20"/>
        </w:rPr>
      </w:pPr>
      <w:r>
        <mc:AlternateContent>
          <mc:Choice Requires="wps">
            <w:drawing>
              <wp:anchor distT="0" distB="0" distL="114300" distR="114300" simplePos="0" relativeHeight="251669504" behindDoc="0" locked="0" layoutInCell="1" allowOverlap="1">
                <wp:simplePos x="0" y="0"/>
                <wp:positionH relativeFrom="column">
                  <wp:posOffset>2838450</wp:posOffset>
                </wp:positionH>
                <wp:positionV relativeFrom="paragraph">
                  <wp:posOffset>558165</wp:posOffset>
                </wp:positionV>
                <wp:extent cx="495300" cy="316230"/>
                <wp:effectExtent l="0" t="0" r="0" b="0"/>
                <wp:wrapNone/>
                <wp:docPr id="159041599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E6A3B9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43.95pt;height:24.9pt;width:39pt;z-index:251669504;mso-width-relative:page;mso-height-relative:page;" filled="f" stroked="f" coordsize="21600,21600" o:gfxdata="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5AoC2wAAAAoBAAAPAAAAAAAAAAEAIAAAACIAAABkcnMvZG93bnJldi54&#10;bWxQSwECFAAUAAAACACHTuJAXi90oDACAABtBAAADgAAAAAAAAABACAAAAAqAQAAZHJzL2Uyb0Rv&#10;Yy54bWxQSwUGAAAAAAYABgBZAQAAzAUAAAAA&#10;">
                <v:fill on="f" focussize="0,0"/>
                <v:stroke on="f" weight="0.5pt"/>
                <v:imagedata o:title=""/>
                <o:lock v:ext="edit" aspectratio="f"/>
                <v:textbox>
                  <w:txbxContent>
                    <w:p w14:paraId="0E6A3B9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269</w:t>
                      </w:r>
                    </w:p>
                  </w:txbxContent>
                </v:textbox>
              </v:shape>
            </w:pict>
          </mc:Fallback>
        </mc:AlternateContent>
      </w:r>
      <w:r>
        <w:rPr>
          <w:sz w:val="20"/>
          <w:szCs w:val="20"/>
        </w:rPr>
        <w:t>Therefore, IPCE is directly linked to the quantity of adsorbed dyes on the TiO</w:t>
      </w:r>
      <w:r>
        <w:rPr>
          <w:sz w:val="20"/>
          <w:szCs w:val="20"/>
          <w:vertAlign w:val="subscript"/>
        </w:rPr>
        <w:t>2</w:t>
      </w:r>
      <w:r>
        <w:rPr>
          <w:sz w:val="20"/>
          <w:szCs w:val="20"/>
        </w:rPr>
        <w:t xml:space="preserve"> surface (or LHE), the efficiency of electron injection into the conduction band of the TiO</w:t>
      </w:r>
      <w:r>
        <w:rPr>
          <w:sz w:val="20"/>
          <w:szCs w:val="20"/>
          <w:vertAlign w:val="subscript"/>
        </w:rPr>
        <w:t>2</w:t>
      </w:r>
      <w:r>
        <w:rPr>
          <w:sz w:val="20"/>
          <w:szCs w:val="20"/>
        </w:rPr>
        <w:t xml:space="preserve">, and the efficiency of electron collection in the external circuit under monochromatic illumination of the cell (Ellis </w:t>
      </w:r>
      <w:r>
        <w:rPr>
          <w:i/>
          <w:sz w:val="20"/>
          <w:szCs w:val="20"/>
        </w:rPr>
        <w:t>et al.,</w:t>
      </w:r>
      <w:r>
        <w:rPr>
          <w:sz w:val="20"/>
          <w:szCs w:val="20"/>
        </w:rPr>
        <w:t xml:space="preserve"> 2022).</w:t>
      </w:r>
    </w:p>
    <w:p w14:paraId="55E5D8AF">
      <w:pPr>
        <w:pStyle w:val="2"/>
        <w:spacing w:before="0"/>
        <w:jc w:val="both"/>
        <w:rPr>
          <w:rFonts w:ascii="Times New Roman" w:hAnsi="Times New Roman" w:cs="Times New Roman"/>
          <w:color w:val="auto"/>
          <w:sz w:val="20"/>
          <w:szCs w:val="20"/>
        </w:rPr>
      </w:pPr>
      <w:bookmarkStart w:id="14" w:name="_Toc177051979"/>
      <w:r>
        <w:rPr>
          <w:rFonts w:ascii="Times New Roman" w:hAnsi="Times New Roman" w:cs="Times New Roman"/>
          <w:color w:val="auto"/>
          <w:sz w:val="20"/>
          <w:szCs w:val="20"/>
        </w:rPr>
        <w:t>Open-circuit photocurrent (Jsc)</w:t>
      </w:r>
      <w:bookmarkEnd w:id="14"/>
    </w:p>
    <w:p w14:paraId="6DB6917B">
      <w:pPr>
        <w:jc w:val="both"/>
        <w:rPr>
          <w:sz w:val="20"/>
          <w:szCs w:val="20"/>
        </w:rPr>
      </w:pPr>
      <w:r>
        <w:rPr>
          <w:sz w:val="20"/>
          <w:szCs w:val="20"/>
        </w:rPr>
        <w:t>Jsc represents the photocurrent per unit area (mA cm^-2) when a DSSC is short-circuited under irradiation. It can be obtained by integrating the IPCE spectra, as shown in equation 7 (Rathi, 2013).</w:t>
      </w:r>
    </w:p>
    <w:p w14:paraId="0FF808B5">
      <w:pPr>
        <w:jc w:val="both"/>
        <w:rPr>
          <w:sz w:val="20"/>
          <w:szCs w:val="20"/>
        </w:rPr>
      </w:pPr>
      <w:r>
        <w:rPr>
          <w:sz w:val="20"/>
          <w:szCs w:val="20"/>
          <w:lang w:eastAsia="en-US"/>
        </w:rPr>
        <w:drawing>
          <wp:inline distT="0" distB="0" distL="0" distR="0">
            <wp:extent cx="2819400" cy="425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a:stretch>
                      <a:fillRect/>
                    </a:stretch>
                  </pic:blipFill>
                  <pic:spPr>
                    <a:xfrm>
                      <a:off x="0" y="0"/>
                      <a:ext cx="2819400" cy="425450"/>
                    </a:xfrm>
                    <a:prstGeom prst="rect">
                      <a:avLst/>
                    </a:prstGeom>
                  </pic:spPr>
                </pic:pic>
              </a:graphicData>
            </a:graphic>
          </wp:inline>
        </w:drawing>
      </w:r>
    </w:p>
    <w:p w14:paraId="3972C652">
      <w:pPr>
        <w:jc w:val="both"/>
        <w:rPr>
          <w:sz w:val="20"/>
          <w:szCs w:val="20"/>
        </w:rPr>
      </w:pPr>
      <w:r>
        <w:rPr>
          <w:sz w:val="20"/>
          <w:szCs w:val="20"/>
        </w:rPr>
        <w:t>Where Is (λ) is the photon flux at wavelength λ under standard AM 1.5 simulated sunlight. Therefore, achieving a high Jsc value necessitates ideal molecular designs of organic dye sensitizers with characteristics such as intense and broad sunlight-harvesting capability, as well as strong interactions between dye sensitizers and TiO</w:t>
      </w:r>
      <w:r>
        <w:rPr>
          <w:sz w:val="20"/>
          <w:szCs w:val="20"/>
          <w:vertAlign w:val="subscript"/>
        </w:rPr>
        <w:t>2</w:t>
      </w:r>
      <w:r>
        <w:rPr>
          <w:sz w:val="20"/>
          <w:szCs w:val="20"/>
        </w:rPr>
        <w:t xml:space="preserve"> surfaces (Dell'Orto, 2012).</w:t>
      </w:r>
    </w:p>
    <w:p w14:paraId="032F04F8">
      <w:pPr>
        <w:pStyle w:val="2"/>
        <w:spacing w:before="0"/>
        <w:jc w:val="both"/>
        <w:rPr>
          <w:rFonts w:ascii="Times New Roman" w:hAnsi="Times New Roman" w:cs="Times New Roman"/>
          <w:color w:val="auto"/>
          <w:sz w:val="20"/>
          <w:szCs w:val="20"/>
        </w:rPr>
      </w:pPr>
      <w:bookmarkStart w:id="15" w:name="_Toc177051980"/>
      <w:r>
        <w:rPr>
          <w:rFonts w:ascii="Times New Roman" w:hAnsi="Times New Roman" w:cs="Times New Roman"/>
          <w:color w:val="auto"/>
          <w:sz w:val="20"/>
          <w:szCs w:val="20"/>
        </w:rPr>
        <w:t>Open-circuit photovoltage (Voc)</w:t>
      </w:r>
      <w:bookmarkEnd w:id="15"/>
    </w:p>
    <w:p w14:paraId="3DDE5504">
      <w:pPr>
        <w:jc w:val="both"/>
        <w:rPr>
          <w:sz w:val="20"/>
          <w:szCs w:val="20"/>
        </w:rPr>
      </w:pPr>
      <w:r>
        <w:rPr>
          <w:sz w:val="20"/>
          <w:szCs w:val="20"/>
        </w:rPr>
        <w:t xml:space="preserve">Voc represents the difference in electrical potential between two terminals of a cell under illumination when the circuit is open. It can be expressed by equation  8 (Park </w:t>
      </w:r>
      <w:r>
        <w:rPr>
          <w:i/>
          <w:sz w:val="20"/>
          <w:szCs w:val="20"/>
        </w:rPr>
        <w:t>et al.,</w:t>
      </w:r>
      <w:r>
        <w:rPr>
          <w:sz w:val="20"/>
          <w:szCs w:val="20"/>
        </w:rPr>
        <w:t xml:space="preserve"> 2022).</w:t>
      </w:r>
    </w:p>
    <w:p w14:paraId="157059C4">
      <w:pPr>
        <w:jc w:val="both"/>
        <w:rPr>
          <w:sz w:val="20"/>
          <w:szCs w:val="20"/>
        </w:rPr>
      </w:pPr>
      <w:r>
        <w:rPr>
          <w:sz w:val="20"/>
          <w:szCs w:val="20"/>
          <w:lang w:eastAsia="en-US"/>
        </w:rPr>
        <w:drawing>
          <wp:inline distT="0" distB="0" distL="0" distR="0">
            <wp:extent cx="2833370" cy="43815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
                    <a:stretch>
                      <a:fillRect/>
                    </a:stretch>
                  </pic:blipFill>
                  <pic:spPr>
                    <a:xfrm>
                      <a:off x="0" y="0"/>
                      <a:ext cx="2836202" cy="438588"/>
                    </a:xfrm>
                    <a:prstGeom prst="rect">
                      <a:avLst/>
                    </a:prstGeom>
                  </pic:spPr>
                </pic:pic>
              </a:graphicData>
            </a:graphic>
          </wp:inline>
        </w:drawing>
      </w:r>
    </w:p>
    <w:p w14:paraId="1230807C">
      <w:pPr>
        <w:jc w:val="both"/>
        <w:rPr>
          <w:sz w:val="20"/>
          <w:szCs w:val="20"/>
        </w:rPr>
      </w:pPr>
      <w:r>
        <w:rPr>
          <w:sz w:val="20"/>
          <w:szCs w:val="20"/>
        </w:rPr>
        <w:t>Where e is the elementary charge, n is the number of electrons in TiO</w:t>
      </w:r>
      <w:r>
        <w:rPr>
          <w:sz w:val="20"/>
          <w:szCs w:val="20"/>
          <w:vertAlign w:val="subscript"/>
        </w:rPr>
        <w:t>2</w:t>
      </w:r>
      <w:r>
        <w:rPr>
          <w:sz w:val="20"/>
          <w:szCs w:val="20"/>
        </w:rPr>
        <w:t>, kB is the Boltzmann constant, T is the absolute temperature, Ncb is the effective density of states, and Eredox is the redox potential of the redox couple. The maximum Voc value of a DSSC corresponds to the difference between the energy level (Ecb) of the conduction band of TiO</w:t>
      </w:r>
      <w:r>
        <w:rPr>
          <w:sz w:val="20"/>
          <w:szCs w:val="20"/>
          <w:vertAlign w:val="subscript"/>
        </w:rPr>
        <w:t>2</w:t>
      </w:r>
      <w:r>
        <w:rPr>
          <w:sz w:val="20"/>
          <w:szCs w:val="20"/>
        </w:rPr>
        <w:t xml:space="preserve"> and the redox potential of the electrolyte (I</w:t>
      </w:r>
      <w:r>
        <w:rPr>
          <w:sz w:val="20"/>
          <w:szCs w:val="20"/>
          <w:vertAlign w:val="subscript"/>
        </w:rPr>
        <w:t>3</w:t>
      </w:r>
      <w:r>
        <w:rPr>
          <w:sz w:val="20"/>
          <w:szCs w:val="20"/>
        </w:rPr>
        <w:t xml:space="preserve">ˉ/Iˉ). However, the actual Voc value is lower than the theoretical value due to the recombination of injected electrons with I3ˉ ions in the electrolyte and with dye cations (Ata Ur Rahman </w:t>
      </w:r>
      <w:r>
        <w:rPr>
          <w:i/>
          <w:sz w:val="20"/>
          <w:szCs w:val="20"/>
        </w:rPr>
        <w:t>et al.,</w:t>
      </w:r>
      <w:r>
        <w:rPr>
          <w:sz w:val="20"/>
          <w:szCs w:val="20"/>
        </w:rPr>
        <w:t xml:space="preserve"> 2021).</w:t>
      </w:r>
    </w:p>
    <w:p w14:paraId="69BDC513">
      <w:pPr>
        <w:pStyle w:val="2"/>
        <w:spacing w:before="0"/>
        <w:jc w:val="both"/>
        <w:rPr>
          <w:rFonts w:ascii="Times New Roman" w:hAnsi="Times New Roman" w:cs="Times New Roman"/>
          <w:color w:val="auto"/>
          <w:sz w:val="20"/>
          <w:szCs w:val="20"/>
        </w:rPr>
      </w:pPr>
      <w:bookmarkStart w:id="16" w:name="_Toc177051981"/>
      <w:r>
        <w:rPr>
          <w:rFonts w:ascii="Times New Roman" w:hAnsi="Times New Roman" w:cs="Times New Roman"/>
          <w:color w:val="auto"/>
          <w:sz w:val="20"/>
          <w:szCs w:val="20"/>
        </w:rPr>
        <w:t>Fill factor (ff)</w:t>
      </w:r>
      <w:bookmarkEnd w:id="16"/>
    </w:p>
    <w:p w14:paraId="303E544D">
      <w:pPr>
        <w:jc w:val="both"/>
        <w:rPr>
          <w:sz w:val="20"/>
          <w:szCs w:val="20"/>
        </w:rPr>
      </w:pPr>
      <w:r>
        <w:rPr>
          <w:sz w:val="20"/>
          <w:szCs w:val="20"/>
        </w:rPr>
        <w:t>The fill factor (ff) is a crucial parameter for a solar cell and is related to the maximum power output (JmpVmp) divided by the product of Jsc and Voc, as shown in equation 9 (Mugayel, 2022).</w:t>
      </w:r>
    </w:p>
    <w:p w14:paraId="6234E51D">
      <w:pPr>
        <w:jc w:val="both"/>
        <w:rPr>
          <w:sz w:val="20"/>
          <w:szCs w:val="20"/>
        </w:rPr>
      </w:pPr>
      <w:r>
        <w:rPr>
          <w:sz w:val="20"/>
          <w:szCs w:val="20"/>
          <w:lang w:eastAsia="en-US"/>
        </w:rPr>
        <w:drawing>
          <wp:inline distT="0" distB="0" distL="0" distR="0">
            <wp:extent cx="2914650" cy="5270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8"/>
                    <a:stretch>
                      <a:fillRect/>
                    </a:stretch>
                  </pic:blipFill>
                  <pic:spPr>
                    <a:xfrm>
                      <a:off x="0" y="0"/>
                      <a:ext cx="2914650" cy="527050"/>
                    </a:xfrm>
                    <a:prstGeom prst="rect">
                      <a:avLst/>
                    </a:prstGeom>
                  </pic:spPr>
                </pic:pic>
              </a:graphicData>
            </a:graphic>
          </wp:inline>
        </w:drawing>
      </w:r>
    </w:p>
    <w:p w14:paraId="22466CE4">
      <w:pPr>
        <w:jc w:val="both"/>
        <w:rPr>
          <w:sz w:val="20"/>
          <w:szCs w:val="20"/>
        </w:rPr>
      </w:pPr>
      <w:r>
        <w:rPr>
          <w:sz w:val="20"/>
          <w:szCs w:val="20"/>
        </w:rPr>
        <w:t xml:space="preserve">The fill factor is determined from the J/V curve and indicates how much of the area of the rectangle for JscVoc is filled by that described by JmpVmp. While the maximum ff value is 1, achieving this value is challenging due to various factors such as sheet resistances of the substrate and counter electrode, electron transport resistance through the photoanode, ion transport resistance, and charge-transfer resistance at the counter electrode. Therefore, careful fabrication of the cell is crucial for attaining high photovoltaic performance (Halal </w:t>
      </w:r>
      <w:r>
        <w:rPr>
          <w:i/>
          <w:sz w:val="20"/>
          <w:szCs w:val="20"/>
        </w:rPr>
        <w:t>et al.,</w:t>
      </w:r>
      <w:r>
        <w:rPr>
          <w:sz w:val="20"/>
          <w:szCs w:val="20"/>
        </w:rPr>
        <w:t xml:space="preserve"> 2022).</w:t>
      </w:r>
    </w:p>
    <w:p w14:paraId="02CC3B20">
      <w:pPr>
        <w:pStyle w:val="2"/>
        <w:spacing w:before="0"/>
        <w:jc w:val="both"/>
        <w:rPr>
          <w:rFonts w:ascii="Times New Roman" w:hAnsi="Times New Roman" w:cs="Times New Roman"/>
          <w:color w:val="auto"/>
          <w:sz w:val="20"/>
          <w:szCs w:val="20"/>
        </w:rPr>
      </w:pPr>
      <w:bookmarkStart w:id="17" w:name="_Toc177051982"/>
      <w:r>
        <w:rPr>
          <w:rFonts w:ascii="Times New Roman" w:hAnsi="Times New Roman" w:cs="Times New Roman"/>
          <w:color w:val="auto"/>
          <w:sz w:val="20"/>
          <w:szCs w:val="20"/>
        </w:rPr>
        <w:t>Solar energy-to-electricity conversion yield (η)</w:t>
      </w:r>
      <w:bookmarkEnd w:id="17"/>
    </w:p>
    <w:p w14:paraId="7004FB5C">
      <w:pPr>
        <w:jc w:val="both"/>
        <w:rPr>
          <w:sz w:val="20"/>
          <w:szCs w:val="20"/>
        </w:rPr>
      </w:pPr>
      <w:r>
        <w:rPr>
          <w:sz w:val="20"/>
          <w:szCs w:val="20"/>
        </w:rPr>
        <w:t>The light-to-electrical power conversion efficiency of a solar cell (η) is determined by Voc, Jsc, ff, and I0 (generally AM 1.5, 100 mW cm</w:t>
      </w:r>
      <w:r>
        <w:rPr>
          <w:sz w:val="20"/>
          <w:szCs w:val="20"/>
          <w:vertAlign w:val="superscript"/>
        </w:rPr>
        <w:t>-2</w:t>
      </w:r>
      <w:r>
        <w:rPr>
          <w:sz w:val="20"/>
          <w:szCs w:val="20"/>
        </w:rPr>
        <w:t>), as shown in equation 10 (Otakwa, 2012).</w:t>
      </w:r>
    </w:p>
    <w:p w14:paraId="0A2BF63C">
      <w:pPr>
        <w:jc w:val="both"/>
        <w:rPr>
          <w:sz w:val="20"/>
          <w:szCs w:val="20"/>
        </w:rPr>
      </w:pPr>
      <w:r>
        <w:rPr>
          <w:sz w:val="20"/>
          <w:szCs w:val="20"/>
          <w:lang w:eastAsia="en-US"/>
        </w:rPr>
        <w:drawing>
          <wp:inline distT="0" distB="0" distL="0" distR="0">
            <wp:extent cx="2959100" cy="55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9"/>
                    <a:stretch>
                      <a:fillRect/>
                    </a:stretch>
                  </pic:blipFill>
                  <pic:spPr>
                    <a:xfrm>
                      <a:off x="0" y="0"/>
                      <a:ext cx="2959100" cy="558800"/>
                    </a:xfrm>
                    <a:prstGeom prst="rect">
                      <a:avLst/>
                    </a:prstGeom>
                  </pic:spPr>
                </pic:pic>
              </a:graphicData>
            </a:graphic>
          </wp:inline>
        </w:drawing>
      </w:r>
    </w:p>
    <w:p w14:paraId="5391FEF0">
      <w:pPr>
        <w:jc w:val="both"/>
        <w:rPr>
          <w:sz w:val="20"/>
          <w:szCs w:val="20"/>
        </w:rPr>
      </w:pPr>
      <w:r>
        <w:rPr>
          <w:sz w:val="20"/>
          <w:szCs w:val="20"/>
        </w:rPr>
        <w:t>To achieve a higher η value, optimization of the Voc, Jsc, and ff values of the cell is essential. Over time, η values have been gradually improved through the design of efficient organic sensitizers (Iyer, 2021).</w:t>
      </w:r>
    </w:p>
    <w:p w14:paraId="22EE1E4C">
      <w:pPr>
        <w:pStyle w:val="2"/>
        <w:spacing w:before="0"/>
        <w:jc w:val="both"/>
        <w:rPr>
          <w:rFonts w:ascii="Times New Roman" w:hAnsi="Times New Roman" w:cs="Times New Roman"/>
          <w:color w:val="auto"/>
          <w:sz w:val="20"/>
          <w:szCs w:val="20"/>
        </w:rPr>
      </w:pPr>
      <w:bookmarkStart w:id="18" w:name="_Toc177051983"/>
      <w:r>
        <w:rPr>
          <w:rFonts w:ascii="Times New Roman" w:hAnsi="Times New Roman" w:cs="Times New Roman"/>
          <w:color w:val="auto"/>
          <w:sz w:val="20"/>
          <w:szCs w:val="20"/>
        </w:rPr>
        <w:t>COMPONENTS OF A DYE-SENSITIZED SOLAR CELL</w:t>
      </w:r>
      <w:bookmarkEnd w:id="18"/>
    </w:p>
    <w:p w14:paraId="240D0CAC">
      <w:pPr>
        <w:jc w:val="both"/>
        <w:rPr>
          <w:sz w:val="20"/>
          <w:szCs w:val="20"/>
        </w:rPr>
      </w:pPr>
      <w:r>
        <w:rPr>
          <w:sz w:val="20"/>
          <w:szCs w:val="20"/>
        </w:rPr>
        <w:t>The DSSC consists of different components, including a transparent conducting glass substrate, TiO</w:t>
      </w:r>
      <w:r>
        <w:rPr>
          <w:sz w:val="20"/>
          <w:szCs w:val="20"/>
          <w:vertAlign w:val="subscript"/>
        </w:rPr>
        <w:t>2</w:t>
      </w:r>
      <w:r>
        <w:rPr>
          <w:sz w:val="20"/>
          <w:szCs w:val="20"/>
        </w:rPr>
        <w:t xml:space="preserve"> nanoparticles, sensitizer, electrolyte, and counter electrode.</w:t>
      </w:r>
    </w:p>
    <w:p w14:paraId="23ABEBC4">
      <w:pPr>
        <w:jc w:val="both"/>
        <w:rPr>
          <w:sz w:val="20"/>
          <w:szCs w:val="20"/>
        </w:rPr>
      </w:pPr>
      <w:r>
        <w:rPr>
          <w:sz w:val="20"/>
          <w:szCs w:val="20"/>
        </w:rPr>
        <w:t xml:space="preserve">Among all the components of dye-sensitized solar cells, the sensitizer is the most crucial part (Rahman </w:t>
      </w:r>
      <w:r>
        <w:rPr>
          <w:i/>
          <w:sz w:val="20"/>
          <w:szCs w:val="20"/>
        </w:rPr>
        <w:t>et al.,</w:t>
      </w:r>
      <w:r>
        <w:rPr>
          <w:sz w:val="20"/>
          <w:szCs w:val="20"/>
        </w:rPr>
        <w:t xml:space="preserve"> 2023). It imitates the role of chlorophyll in the plant because it influences the efficiency and the stability of the cells (Wang </w:t>
      </w:r>
      <w:r>
        <w:rPr>
          <w:i/>
          <w:sz w:val="20"/>
          <w:szCs w:val="20"/>
        </w:rPr>
        <w:t>et al.,</w:t>
      </w:r>
      <w:r>
        <w:rPr>
          <w:sz w:val="20"/>
          <w:szCs w:val="20"/>
        </w:rPr>
        <w:t xml:space="preserve"> 2022). Researchers have tested different types of sensitizers, including natural and synthetic dyes, to identify their ability to convert light into electricity (Shalini </w:t>
      </w:r>
      <w:r>
        <w:rPr>
          <w:i/>
          <w:sz w:val="20"/>
          <w:szCs w:val="20"/>
        </w:rPr>
        <w:t>et al.,</w:t>
      </w:r>
      <w:r>
        <w:rPr>
          <w:sz w:val="20"/>
          <w:szCs w:val="20"/>
        </w:rPr>
        <w:t xml:space="preserve"> 2016). However, the dye-sensitized solar cells developed using natural dyes suffer from very low efficiencies while the synthetic dyes are expensive in terms of synthetic route and utilization of heavy transition metals (Mariotti </w:t>
      </w:r>
      <w:r>
        <w:rPr>
          <w:i/>
          <w:sz w:val="20"/>
          <w:szCs w:val="20"/>
        </w:rPr>
        <w:t>et al.,</w:t>
      </w:r>
      <w:r>
        <w:rPr>
          <w:sz w:val="20"/>
          <w:szCs w:val="20"/>
        </w:rPr>
        <w:t xml:space="preserve"> 2020).</w:t>
      </w:r>
    </w:p>
    <w:p w14:paraId="15808A68">
      <w:pPr>
        <w:jc w:val="both"/>
        <w:rPr>
          <w:sz w:val="20"/>
          <w:szCs w:val="20"/>
        </w:rPr>
      </w:pPr>
      <w:r>
        <mc:AlternateContent>
          <mc:Choice Requires="wps">
            <w:drawing>
              <wp:anchor distT="0" distB="0" distL="114300" distR="114300" simplePos="0" relativeHeight="251670528" behindDoc="0" locked="0" layoutInCell="1" allowOverlap="1">
                <wp:simplePos x="0" y="0"/>
                <wp:positionH relativeFrom="column">
                  <wp:posOffset>2832100</wp:posOffset>
                </wp:positionH>
                <wp:positionV relativeFrom="paragraph">
                  <wp:posOffset>2527300</wp:posOffset>
                </wp:positionV>
                <wp:extent cx="495300" cy="316230"/>
                <wp:effectExtent l="0" t="0" r="0" b="0"/>
                <wp:wrapNone/>
                <wp:docPr id="274500457"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607B9AD1">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pt;margin-top:199pt;height:24.9pt;width:39pt;z-index:251670528;mso-width-relative:page;mso-height-relative:page;" filled="f" stroked="f" coordsize="21600,21600" o:gfxdata="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mfDV2wAAAAsBAAAPAAAAAAAAAAEAIAAAACIAAABkcnMvZG93bnJldi54&#10;bWxQSwECFAAUAAAACACHTuJA92xBBzACAABsBAAADgAAAAAAAAABACAAAAAqAQAAZHJzL2Uyb0Rv&#10;Yy54bWxQSwUGAAAAAAYABgBZAQAAzAUAAAAA&#10;">
                <v:fill on="f" focussize="0,0"/>
                <v:stroke on="f" weight="0.5pt"/>
                <v:imagedata o:title=""/>
                <o:lock v:ext="edit" aspectratio="f"/>
                <v:textbox>
                  <w:txbxContent>
                    <w:p w14:paraId="607B9AD1">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270</w:t>
                      </w:r>
                    </w:p>
                  </w:txbxContent>
                </v:textbox>
              </v:shape>
            </w:pict>
          </mc:Fallback>
        </mc:AlternateContent>
      </w:r>
      <w:r>
        <w:rPr>
          <w:sz w:val="20"/>
          <w:szCs w:val="20"/>
        </w:rPr>
        <w:t xml:space="preserve">Transition metal-based compounds (Ruthenium Polypyridyl complexes) have been employed as successful sensitizers, due to their strong charge-transfer absorption over the visible light spectrum with high efficient metal-to-ligand charge transfer (Di Cheng </w:t>
      </w:r>
      <w:r>
        <w:rPr>
          <w:i/>
          <w:sz w:val="20"/>
          <w:szCs w:val="20"/>
        </w:rPr>
        <w:t>et al.,</w:t>
      </w:r>
      <w:r>
        <w:rPr>
          <w:sz w:val="20"/>
          <w:szCs w:val="20"/>
        </w:rPr>
        <w:t xml:space="preserve"> 2022). However, the Ruthenium polypyridyl complex is undesirable and harmful to the environment (Villemin </w:t>
      </w:r>
      <w:r>
        <w:rPr>
          <w:i/>
          <w:sz w:val="20"/>
          <w:szCs w:val="20"/>
        </w:rPr>
        <w:t>et al.,</w:t>
      </w:r>
      <w:r>
        <w:rPr>
          <w:sz w:val="20"/>
          <w:szCs w:val="20"/>
        </w:rPr>
        <w:t xml:space="preserve"> 2019), and also the synthesis is complicated and costly (Paul, 2012).</w:t>
      </w:r>
    </w:p>
    <w:p w14:paraId="239406AF">
      <w:pPr>
        <w:jc w:val="both"/>
        <w:rPr>
          <w:sz w:val="20"/>
          <w:szCs w:val="20"/>
        </w:rPr>
        <w:sectPr>
          <w:type w:val="continuous"/>
          <w:pgSz w:w="12240" w:h="15840"/>
          <w:pgMar w:top="1440" w:right="1440" w:bottom="1440" w:left="1440" w:header="720" w:footer="720" w:gutter="0"/>
          <w:cols w:space="227" w:num="2"/>
          <w:docGrid w:linePitch="299" w:charSpace="0"/>
        </w:sectPr>
      </w:pPr>
    </w:p>
    <w:p w14:paraId="00D1355B">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930900" cy="2597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0"/>
                    <a:stretch>
                      <a:fillRect/>
                    </a:stretch>
                  </pic:blipFill>
                  <pic:spPr>
                    <a:xfrm>
                      <a:off x="0" y="0"/>
                      <a:ext cx="5931206" cy="2597284"/>
                    </a:xfrm>
                    <a:prstGeom prst="rect">
                      <a:avLst/>
                    </a:prstGeom>
                  </pic:spPr>
                </pic:pic>
              </a:graphicData>
            </a:graphic>
          </wp:inline>
        </w:drawing>
      </w:r>
    </w:p>
    <w:p w14:paraId="6931C468">
      <w:pPr>
        <w:ind w:left="2160" w:firstLine="720"/>
        <w:rPr>
          <w:sz w:val="20"/>
          <w:szCs w:val="20"/>
        </w:rPr>
      </w:pPr>
      <w:r>
        <w:rPr>
          <w:b/>
          <w:sz w:val="20"/>
          <w:szCs w:val="20"/>
        </w:rPr>
        <w:t>Fig 2</w:t>
      </w:r>
      <w:r>
        <w:rPr>
          <w:sz w:val="20"/>
          <w:szCs w:val="20"/>
        </w:rPr>
        <w:t xml:space="preserve"> </w:t>
      </w:r>
      <w:r>
        <w:rPr>
          <w:b/>
          <w:sz w:val="20"/>
          <w:szCs w:val="20"/>
        </w:rPr>
        <w:t>Components of the DSSC</w:t>
      </w:r>
    </w:p>
    <w:p w14:paraId="19445353">
      <w:pPr>
        <w:pStyle w:val="2"/>
        <w:spacing w:before="0"/>
        <w:jc w:val="both"/>
        <w:rPr>
          <w:rFonts w:ascii="Times New Roman" w:hAnsi="Times New Roman" w:cs="Times New Roman"/>
          <w:color w:val="auto"/>
          <w:sz w:val="20"/>
          <w:szCs w:val="20"/>
        </w:rPr>
        <w:sectPr>
          <w:type w:val="continuous"/>
          <w:pgSz w:w="12240" w:h="15840"/>
          <w:pgMar w:top="1440" w:right="1440" w:bottom="1440" w:left="1440" w:header="720" w:footer="720" w:gutter="0"/>
          <w:cols w:space="227" w:num="1"/>
          <w:docGrid w:linePitch="299" w:charSpace="0"/>
        </w:sectPr>
      </w:pPr>
      <w:bookmarkStart w:id="19" w:name="_Toc177051984"/>
    </w:p>
    <w:p w14:paraId="3548C6FD">
      <w:pPr>
        <w:pStyle w:val="2"/>
        <w:spacing w:before="0"/>
        <w:jc w:val="both"/>
        <w:rPr>
          <w:rFonts w:ascii="Times New Roman" w:hAnsi="Times New Roman" w:cs="Times New Roman"/>
          <w:color w:val="auto"/>
          <w:sz w:val="20"/>
          <w:szCs w:val="20"/>
        </w:rPr>
      </w:pPr>
      <w:r>
        <w:rPr>
          <w:rFonts w:ascii="Times New Roman" w:hAnsi="Times New Roman" w:cs="Times New Roman"/>
          <w:color w:val="auto"/>
          <w:sz w:val="20"/>
          <w:szCs w:val="20"/>
        </w:rPr>
        <w:t>Transparent conducting glass substrate</w:t>
      </w:r>
      <w:bookmarkEnd w:id="19"/>
    </w:p>
    <w:p w14:paraId="44069F64">
      <w:pPr>
        <w:jc w:val="both"/>
        <w:rPr>
          <w:sz w:val="20"/>
          <w:szCs w:val="20"/>
        </w:rPr>
      </w:pPr>
      <w:r>
        <w:rPr>
          <w:sz w:val="20"/>
          <w:szCs w:val="20"/>
        </w:rPr>
        <w:t xml:space="preserve">DSSC structure consists of two layers of transparent conducting glass that supply a substrate for the deposition of the catalyst and the semiconductor (Francis and Ikenna, 2021), it also acts as a current acceptor, the glass substrate should be highly transparent in the visible region to allow enough sunlight pass through, to the active area of the device (transparency &gt; 80%) (Liu </w:t>
      </w:r>
      <w:r>
        <w:rPr>
          <w:i/>
          <w:sz w:val="20"/>
          <w:szCs w:val="20"/>
        </w:rPr>
        <w:t>et al.,</w:t>
      </w:r>
      <w:r>
        <w:rPr>
          <w:sz w:val="20"/>
          <w:szCs w:val="20"/>
        </w:rPr>
        <w:t xml:space="preserve"> 2020).</w:t>
      </w:r>
    </w:p>
    <w:p w14:paraId="4D1DA41B">
      <w:pPr>
        <w:jc w:val="both"/>
        <w:rPr>
          <w:sz w:val="20"/>
          <w:szCs w:val="20"/>
        </w:rPr>
      </w:pPr>
      <w:r>
        <w:rPr>
          <w:sz w:val="20"/>
          <w:szCs w:val="20"/>
        </w:rPr>
        <w:t xml:space="preserve">The electrical conductivity of the substrate dictates the efficiency of DSSCs because it minimizes energy loss and also helps to obtain high efficient charge transfer (Yun </w:t>
      </w:r>
      <w:r>
        <w:rPr>
          <w:i/>
          <w:sz w:val="20"/>
          <w:szCs w:val="20"/>
        </w:rPr>
        <w:t>et al.,</w:t>
      </w:r>
      <w:r>
        <w:rPr>
          <w:sz w:val="20"/>
          <w:szCs w:val="20"/>
        </w:rPr>
        <w:t xml:space="preserve"> 2016). It should have a low sheet resistance of between 5-15Ω with a high-temperature resistance of between 450-5000C that is employed during the sintering process of the TiO</w:t>
      </w:r>
      <w:r>
        <w:rPr>
          <w:sz w:val="20"/>
          <w:szCs w:val="20"/>
          <w:vertAlign w:val="subscript"/>
        </w:rPr>
        <w:t>2</w:t>
      </w:r>
      <w:r>
        <w:rPr>
          <w:sz w:val="20"/>
          <w:szCs w:val="20"/>
        </w:rPr>
        <w:t xml:space="preserve"> layer and the ability to prevent water and oxygen from entering into the device (Muchuweni </w:t>
      </w:r>
      <w:r>
        <w:rPr>
          <w:i/>
          <w:sz w:val="20"/>
          <w:szCs w:val="20"/>
        </w:rPr>
        <w:t>et al.,</w:t>
      </w:r>
      <w:r>
        <w:rPr>
          <w:sz w:val="20"/>
          <w:szCs w:val="20"/>
        </w:rPr>
        <w:t xml:space="preserve"> 2020). This layer is important because it allows sunlight to pass through the cell while conducting electron carriers to the outer circuit. Due to their thermal, optical, and mechanical stability, soda-lime glasses are the dominant substrate for DSSCs but failed the flexibility test (Li </w:t>
      </w:r>
      <w:r>
        <w:rPr>
          <w:i/>
          <w:sz w:val="20"/>
          <w:szCs w:val="20"/>
        </w:rPr>
        <w:t>et al.,</w:t>
      </w:r>
      <w:r>
        <w:rPr>
          <w:sz w:val="20"/>
          <w:szCs w:val="20"/>
        </w:rPr>
        <w:t xml:space="preserve"> 2021).</w:t>
      </w:r>
    </w:p>
    <w:p w14:paraId="052D856A">
      <w:pPr>
        <w:jc w:val="both"/>
        <w:rPr>
          <w:sz w:val="20"/>
          <w:szCs w:val="20"/>
        </w:rPr>
      </w:pPr>
      <w:r>
        <w:rPr>
          <w:sz w:val="20"/>
          <w:szCs w:val="20"/>
        </w:rPr>
        <w:t xml:space="preserve">Transparent Conductive Oxide substrates are adopted, including Fluorine-doped or Indium-doped tin oxides (FTO or ITO), because of their electrical conductivity and optical transmittance with optimal sheet resistance (Habis </w:t>
      </w:r>
      <w:r>
        <w:rPr>
          <w:i/>
          <w:sz w:val="20"/>
          <w:szCs w:val="20"/>
        </w:rPr>
        <w:t>et al.,</w:t>
      </w:r>
      <w:r>
        <w:rPr>
          <w:sz w:val="20"/>
          <w:szCs w:val="20"/>
        </w:rPr>
        <w:t xml:space="preserve"> 2022).</w:t>
      </w:r>
    </w:p>
    <w:p w14:paraId="3E63F2AC">
      <w:pPr>
        <w:jc w:val="both"/>
        <w:rPr>
          <w:sz w:val="20"/>
          <w:szCs w:val="20"/>
        </w:rPr>
      </w:pPr>
      <w:r>
        <w:rPr>
          <w:sz w:val="20"/>
          <w:szCs w:val="20"/>
        </w:rPr>
        <w:t xml:space="preserve">ITO is a rare, toxic, and expensive metal material with poor thermal stability (Miettunen and Santasalo, 2021), FTO is preferred as a conducting glass substrate for DSSC by some research groups but its mechanical brittleness limits its usage. Aluminum-doped zinc oxide (AZO), which satisfies both requirements is widely studied due to the materials are cheap, nontoxic, and easy to obtain (Kumar </w:t>
      </w:r>
      <w:r>
        <w:rPr>
          <w:i/>
          <w:sz w:val="20"/>
          <w:szCs w:val="20"/>
        </w:rPr>
        <w:t>et al.,</w:t>
      </w:r>
      <w:r>
        <w:rPr>
          <w:sz w:val="20"/>
          <w:szCs w:val="20"/>
        </w:rPr>
        <w:t xml:space="preserve"> 2023). ITO performs best among all the Transparent Conductive Oxide substrates, it’s transmittance is over 80% with a sheet resistance of 18 Ω/cm</w:t>
      </w:r>
      <w:r>
        <w:rPr>
          <w:sz w:val="20"/>
          <w:szCs w:val="20"/>
          <w:vertAlign w:val="superscript"/>
        </w:rPr>
        <w:t>2</w:t>
      </w:r>
      <w:r>
        <w:rPr>
          <w:sz w:val="20"/>
          <w:szCs w:val="20"/>
        </w:rPr>
        <w:t xml:space="preserve">, but Fluorine Transparent Oxides (FTO) films have almost 75% transmittance in the visible region with 8.5/cm2 sheet resistance (Andualem and Demiss, 2018). </w:t>
      </w:r>
    </w:p>
    <w:p w14:paraId="1B618F0C">
      <w:pPr>
        <w:jc w:val="both"/>
        <w:rPr>
          <w:sz w:val="20"/>
          <w:szCs w:val="20"/>
        </w:rPr>
      </w:pPr>
      <w:r>
        <w:rPr>
          <w:sz w:val="20"/>
          <w:szCs w:val="20"/>
        </w:rPr>
        <w:t xml:space="preserve">Plastic foils and metal sheets were investigated as alternative materials to overcome/reduce most of the problems encountered while using glass substrate. Conductive plastics, ITO-PET (indium tin oxide coated polyethylene terephthalate sheets) and ITO-PEN (indium-doped tin oxide coated polyethylene naphthalate sheets), are cheap, flexible, and shallow but Metals substrates are mechanically tough, inexpensive and have a superior electrical conductivity than all other substrate materials (Baptista </w:t>
      </w:r>
      <w:r>
        <w:rPr>
          <w:i/>
          <w:sz w:val="20"/>
          <w:szCs w:val="20"/>
        </w:rPr>
        <w:t>et al.,</w:t>
      </w:r>
      <w:r>
        <w:rPr>
          <w:sz w:val="20"/>
          <w:szCs w:val="20"/>
        </w:rPr>
        <w:t xml:space="preserve"> 2012).</w:t>
      </w:r>
    </w:p>
    <w:p w14:paraId="08B97BAE">
      <w:pPr>
        <w:pStyle w:val="2"/>
        <w:spacing w:before="0"/>
        <w:jc w:val="both"/>
        <w:rPr>
          <w:rFonts w:ascii="Times New Roman" w:hAnsi="Times New Roman" w:cs="Times New Roman"/>
          <w:color w:val="auto"/>
          <w:sz w:val="20"/>
          <w:szCs w:val="20"/>
        </w:rPr>
      </w:pPr>
      <w:bookmarkStart w:id="20" w:name="_Toc177051985"/>
      <w:r>
        <w:rPr>
          <w:rFonts w:ascii="Times New Roman" w:hAnsi="Times New Roman" w:cs="Times New Roman"/>
          <w:color w:val="auto"/>
          <w:sz w:val="20"/>
          <w:szCs w:val="20"/>
        </w:rPr>
        <w:t>Semiconductor as the photo electrode</w:t>
      </w:r>
      <w:bookmarkEnd w:id="20"/>
    </w:p>
    <w:p w14:paraId="4ECA7E27">
      <w:pPr>
        <w:jc w:val="both"/>
        <w:rPr>
          <w:sz w:val="20"/>
          <w:szCs w:val="20"/>
        </w:rPr>
      </w:pPr>
      <w:r>
        <w:rPr>
          <w:sz w:val="20"/>
          <w:szCs w:val="20"/>
        </w:rPr>
        <w:t xml:space="preserve">The material where low concentrations of charge carriers are generated by either chemical doping, photo-excitation, or thermal processes is called a semiconductor (Anandan </w:t>
      </w:r>
      <w:r>
        <w:rPr>
          <w:i/>
          <w:sz w:val="20"/>
          <w:szCs w:val="20"/>
        </w:rPr>
        <w:t>et al.,</w:t>
      </w:r>
      <w:r>
        <w:rPr>
          <w:sz w:val="20"/>
          <w:szCs w:val="20"/>
        </w:rPr>
        <w:t xml:space="preserve"> 2010). The important role a semiconductor oxide plays in DSSC is giving the surface area for adsorption, acceptance of the electrons, and then transporting the electrons to the external circuit for the production of an electric current (Cavallo </w:t>
      </w:r>
      <w:r>
        <w:rPr>
          <w:i/>
          <w:sz w:val="20"/>
          <w:szCs w:val="20"/>
        </w:rPr>
        <w:t>et al.,</w:t>
      </w:r>
      <w:r>
        <w:rPr>
          <w:sz w:val="20"/>
          <w:szCs w:val="20"/>
        </w:rPr>
        <w:t xml:space="preserve"> 2017). The rate of transporting electrons relies on the crystallinity, morphology, and surface area of semiconductors as such it affects the efficiency of DSSCs (Jena </w:t>
      </w:r>
      <w:r>
        <w:rPr>
          <w:i/>
          <w:sz w:val="20"/>
          <w:szCs w:val="20"/>
        </w:rPr>
        <w:t>et al.,</w:t>
      </w:r>
      <w:r>
        <w:rPr>
          <w:sz w:val="20"/>
          <w:szCs w:val="20"/>
        </w:rPr>
        <w:t xml:space="preserve"> 2012).</w:t>
      </w:r>
    </w:p>
    <w:p w14:paraId="495683FF">
      <w:pPr>
        <w:jc w:val="both"/>
        <w:rPr>
          <w:sz w:val="20"/>
          <w:szCs w:val="20"/>
        </w:rPr>
      </w:pPr>
      <w:r>
        <mc:AlternateContent>
          <mc:Choice Requires="wps">
            <w:drawing>
              <wp:anchor distT="0" distB="0" distL="114300" distR="114300" simplePos="0" relativeHeight="251671552" behindDoc="0" locked="0" layoutInCell="1" allowOverlap="1">
                <wp:simplePos x="0" y="0"/>
                <wp:positionH relativeFrom="column">
                  <wp:posOffset>2838450</wp:posOffset>
                </wp:positionH>
                <wp:positionV relativeFrom="paragraph">
                  <wp:posOffset>1701800</wp:posOffset>
                </wp:positionV>
                <wp:extent cx="495300" cy="316230"/>
                <wp:effectExtent l="0" t="0" r="0" b="0"/>
                <wp:wrapNone/>
                <wp:docPr id="1858853629"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0A11896">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134pt;height:24.9pt;width:39pt;z-index:251671552;mso-width-relative:page;mso-height-relative:page;" filled="f" stroked="f" coordsize="21600,21600" o:gfxdata="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cDJbPcAAAACwEAAA8AAAAAAAAAAQAgAAAAIgAAAGRycy9kb3ducmV2&#10;LnhtbFBLAQIUABQAAAAIAIdO4kDTRnBcMQIAAG0EAAAOAAAAAAAAAAEAIAAAACsBAABkcnMvZTJv&#10;RG9jLnhtbFBLBQYAAAAABgAGAFkBAADOBQAAAAA=&#10;">
                <v:fill on="f" focussize="0,0"/>
                <v:stroke on="f" weight="0.5pt"/>
                <v:imagedata o:title=""/>
                <o:lock v:ext="edit" aspectratio="f"/>
                <v:textbox>
                  <w:txbxContent>
                    <w:p w14:paraId="00A11896">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271</w:t>
                      </w:r>
                    </w:p>
                  </w:txbxContent>
                </v:textbox>
              </v:shape>
            </w:pict>
          </mc:Fallback>
        </mc:AlternateContent>
      </w:r>
      <w:r>
        <w:rPr>
          <w:sz w:val="20"/>
          <w:szCs w:val="20"/>
        </w:rPr>
        <w:t>Solid materials fall into three categories, conductors, semiconductors, and insulators, based on their ability to conduct electricity. The conductive properties of solid materials are described based on their electronic properties. The maximum bandgap of the insulator is over 6eV at room temperature. This indicates that for an electron to be excited from the valence band to the conduction band, it is necessary to transfer energy larger than this value. In contrast, the conduction band is partially filled with conductive material, so there is no bandgap. Semiconductors are materials that have intermediate electronic properties between insulators and conductors. Examples of the most commonly employed semiconductors are germanium and silicon with energy bandgap of 0.72eV and 1.1eV, respectively (Srikant and Chaturvedi, 2020).</w:t>
      </w:r>
    </w:p>
    <w:p w14:paraId="1712A1B6">
      <w:pPr>
        <w:pStyle w:val="2"/>
        <w:spacing w:before="0"/>
        <w:jc w:val="both"/>
        <w:rPr>
          <w:rFonts w:ascii="Times New Roman" w:hAnsi="Times New Roman" w:cs="Times New Roman"/>
          <w:color w:val="auto"/>
          <w:sz w:val="20"/>
          <w:szCs w:val="20"/>
        </w:rPr>
      </w:pPr>
      <w:bookmarkStart w:id="21" w:name="_Toc177039061"/>
      <w:bookmarkStart w:id="22" w:name="_Toc177051986"/>
      <w:bookmarkStart w:id="23" w:name="_Toc174692591"/>
      <w:r>
        <w:rPr>
          <w:rFonts w:ascii="Times New Roman" w:hAnsi="Times New Roman" w:cs="Times New Roman"/>
          <w:color w:val="auto"/>
          <w:sz w:val="20"/>
          <w:szCs w:val="20"/>
        </w:rPr>
        <w:t>Titanium dioxide (TiO</w:t>
      </w:r>
      <w:r>
        <w:rPr>
          <w:rFonts w:ascii="Times New Roman" w:hAnsi="Times New Roman" w:cs="Times New Roman"/>
          <w:color w:val="auto"/>
          <w:sz w:val="20"/>
          <w:szCs w:val="20"/>
          <w:vertAlign w:val="subscript"/>
        </w:rPr>
        <w:t>2</w:t>
      </w:r>
      <w:r>
        <w:rPr>
          <w:rFonts w:ascii="Times New Roman" w:hAnsi="Times New Roman" w:cs="Times New Roman"/>
          <w:color w:val="auto"/>
          <w:sz w:val="20"/>
          <w:szCs w:val="20"/>
        </w:rPr>
        <w:t>)</w:t>
      </w:r>
      <w:bookmarkEnd w:id="21"/>
      <w:bookmarkEnd w:id="22"/>
      <w:bookmarkEnd w:id="23"/>
    </w:p>
    <w:p w14:paraId="40D26EF3">
      <w:pPr>
        <w:jc w:val="both"/>
        <w:rPr>
          <w:sz w:val="20"/>
          <w:szCs w:val="20"/>
        </w:rPr>
      </w:pPr>
      <w:r>
        <w:rPr>
          <w:sz w:val="20"/>
          <w:szCs w:val="20"/>
        </w:rPr>
        <w:t>Titanium dioxide (TiO</w:t>
      </w:r>
      <w:r>
        <w:rPr>
          <w:sz w:val="20"/>
          <w:szCs w:val="20"/>
          <w:vertAlign w:val="subscript"/>
        </w:rPr>
        <w:t>2</w:t>
      </w:r>
      <w:r>
        <w:rPr>
          <w:sz w:val="20"/>
          <w:szCs w:val="20"/>
        </w:rPr>
        <w:t xml:space="preserve">) is an n-type semiconductor with a wider bandgap and is often employed and studied in DSSC. It had a conduction band slightly lower than the excited state energy levels of many sensitizers, which was one of the reasons for efficient electron injection (Bai </w:t>
      </w:r>
      <w:r>
        <w:rPr>
          <w:i/>
          <w:sz w:val="20"/>
          <w:szCs w:val="20"/>
        </w:rPr>
        <w:t>et al.,</w:t>
      </w:r>
      <w:r>
        <w:rPr>
          <w:sz w:val="20"/>
          <w:szCs w:val="20"/>
        </w:rPr>
        <w:t xml:space="preserve"> 2017). </w:t>
      </w:r>
    </w:p>
    <w:p w14:paraId="63F74414">
      <w:pPr>
        <w:jc w:val="both"/>
        <w:rPr>
          <w:sz w:val="20"/>
          <w:szCs w:val="20"/>
        </w:rPr>
      </w:pPr>
      <w:r>
        <w:rPr>
          <w:sz w:val="20"/>
          <w:szCs w:val="20"/>
        </w:rPr>
        <w:t xml:space="preserve">It has the following unique characteristics that make it a semiconductor suitable for DSSCs. </w:t>
      </w:r>
    </w:p>
    <w:p w14:paraId="1FFBB15F">
      <w:pPr>
        <w:pStyle w:val="45"/>
        <w:numPr>
          <w:ilvl w:val="0"/>
          <w:numId w:val="1"/>
        </w:numPr>
        <w:jc w:val="both"/>
        <w:rPr>
          <w:sz w:val="20"/>
          <w:szCs w:val="20"/>
        </w:rPr>
      </w:pPr>
      <w:r>
        <w:rPr>
          <w:sz w:val="20"/>
          <w:szCs w:val="20"/>
        </w:rPr>
        <w:t xml:space="preserve">High sensitivity to light. </w:t>
      </w:r>
    </w:p>
    <w:p w14:paraId="15D057E4">
      <w:pPr>
        <w:pStyle w:val="45"/>
        <w:numPr>
          <w:ilvl w:val="0"/>
          <w:numId w:val="1"/>
        </w:numPr>
        <w:jc w:val="both"/>
        <w:rPr>
          <w:sz w:val="20"/>
          <w:szCs w:val="20"/>
        </w:rPr>
      </w:pPr>
      <w:r>
        <w:rPr>
          <w:sz w:val="20"/>
          <w:szCs w:val="20"/>
        </w:rPr>
        <w:t>High structural stability under sunlight and in solution.</w:t>
      </w:r>
    </w:p>
    <w:p w14:paraId="74C87927">
      <w:pPr>
        <w:pStyle w:val="45"/>
        <w:numPr>
          <w:ilvl w:val="0"/>
          <w:numId w:val="1"/>
        </w:numPr>
        <w:jc w:val="both"/>
        <w:rPr>
          <w:sz w:val="20"/>
          <w:szCs w:val="20"/>
        </w:rPr>
      </w:pPr>
      <w:r>
        <w:rPr>
          <w:sz w:val="20"/>
          <w:szCs w:val="20"/>
        </w:rPr>
        <w:t xml:space="preserve">Non-toxic. </w:t>
      </w:r>
    </w:p>
    <w:p w14:paraId="49DCB744">
      <w:pPr>
        <w:pStyle w:val="45"/>
        <w:numPr>
          <w:ilvl w:val="0"/>
          <w:numId w:val="1"/>
        </w:numPr>
        <w:jc w:val="both"/>
        <w:rPr>
          <w:sz w:val="20"/>
          <w:szCs w:val="20"/>
        </w:rPr>
      </w:pPr>
      <w:r>
        <w:rPr>
          <w:sz w:val="20"/>
          <w:szCs w:val="20"/>
        </w:rPr>
        <w:t xml:space="preserve">Low cost (Al-Alwani </w:t>
      </w:r>
      <w:r>
        <w:rPr>
          <w:i/>
          <w:sz w:val="20"/>
          <w:szCs w:val="20"/>
        </w:rPr>
        <w:t>et al.,</w:t>
      </w:r>
      <w:r>
        <w:rPr>
          <w:sz w:val="20"/>
          <w:szCs w:val="20"/>
        </w:rPr>
        <w:t xml:space="preserve"> 2016; Fan </w:t>
      </w:r>
      <w:r>
        <w:rPr>
          <w:i/>
          <w:sz w:val="20"/>
          <w:szCs w:val="20"/>
        </w:rPr>
        <w:t>et al.,</w:t>
      </w:r>
      <w:r>
        <w:rPr>
          <w:sz w:val="20"/>
          <w:szCs w:val="20"/>
        </w:rPr>
        <w:t xml:space="preserve"> 2017).</w:t>
      </w:r>
    </w:p>
    <w:p w14:paraId="336F8D56">
      <w:pPr>
        <w:jc w:val="both"/>
        <w:rPr>
          <w:sz w:val="20"/>
          <w:szCs w:val="20"/>
        </w:rPr>
      </w:pPr>
      <w:r>
        <w:rPr>
          <w:sz w:val="20"/>
          <w:szCs w:val="20"/>
        </w:rPr>
        <w:t>TiO</w:t>
      </w:r>
      <w:r>
        <w:rPr>
          <w:sz w:val="20"/>
          <w:szCs w:val="20"/>
          <w:vertAlign w:val="subscript"/>
        </w:rPr>
        <w:t>2</w:t>
      </w:r>
      <w:r>
        <w:rPr>
          <w:sz w:val="20"/>
          <w:szCs w:val="20"/>
        </w:rPr>
        <w:t xml:space="preserve"> has different applications in the following areas, pigments (El-Sherbiny </w:t>
      </w:r>
      <w:r>
        <w:rPr>
          <w:i/>
          <w:sz w:val="20"/>
          <w:szCs w:val="20"/>
        </w:rPr>
        <w:t>et al.,</w:t>
      </w:r>
      <w:r>
        <w:rPr>
          <w:sz w:val="20"/>
          <w:szCs w:val="20"/>
        </w:rPr>
        <w:t xml:space="preserve"> 2014), coatings (Dell’Edera </w:t>
      </w:r>
      <w:r>
        <w:rPr>
          <w:i/>
          <w:sz w:val="20"/>
          <w:szCs w:val="20"/>
        </w:rPr>
        <w:t>et al.,</w:t>
      </w:r>
      <w:r>
        <w:rPr>
          <w:sz w:val="20"/>
          <w:szCs w:val="20"/>
        </w:rPr>
        <w:t xml:space="preserve"> 2021), sensors (Bai and Zhou, 2014), batteries (Paul </w:t>
      </w:r>
      <w:r>
        <w:rPr>
          <w:i/>
          <w:sz w:val="20"/>
          <w:szCs w:val="20"/>
        </w:rPr>
        <w:t>et al.,</w:t>
      </w:r>
      <w:r>
        <w:rPr>
          <w:sz w:val="20"/>
          <w:szCs w:val="20"/>
        </w:rPr>
        <w:t xml:space="preserve"> 2022), catalysis (Scirè </w:t>
      </w:r>
      <w:r>
        <w:rPr>
          <w:i/>
          <w:sz w:val="20"/>
          <w:szCs w:val="20"/>
        </w:rPr>
        <w:t>et al.,</w:t>
      </w:r>
      <w:r>
        <w:rPr>
          <w:sz w:val="20"/>
          <w:szCs w:val="20"/>
        </w:rPr>
        <w:t xml:space="preserve"> 2021; Zhang and Yan, 2023), energy (Ge </w:t>
      </w:r>
      <w:r>
        <w:rPr>
          <w:i/>
          <w:sz w:val="20"/>
          <w:szCs w:val="20"/>
        </w:rPr>
        <w:t>et al.,</w:t>
      </w:r>
      <w:r>
        <w:rPr>
          <w:sz w:val="20"/>
          <w:szCs w:val="20"/>
        </w:rPr>
        <w:t xml:space="preserve"> 2016) and solar cells (Chougala </w:t>
      </w:r>
      <w:r>
        <w:rPr>
          <w:i/>
          <w:sz w:val="20"/>
          <w:szCs w:val="20"/>
        </w:rPr>
        <w:t>et al.,</w:t>
      </w:r>
      <w:r>
        <w:rPr>
          <w:sz w:val="20"/>
          <w:szCs w:val="20"/>
        </w:rPr>
        <w:t xml:space="preserve"> 2017; Roy </w:t>
      </w:r>
      <w:r>
        <w:rPr>
          <w:i/>
          <w:sz w:val="20"/>
          <w:szCs w:val="20"/>
        </w:rPr>
        <w:t>et al.,</w:t>
      </w:r>
      <w:r>
        <w:rPr>
          <w:sz w:val="20"/>
          <w:szCs w:val="20"/>
        </w:rPr>
        <w:t xml:space="preserve"> 2010). In 1985, de Silvestro discovered that the use of TiO</w:t>
      </w:r>
      <w:r>
        <w:rPr>
          <w:sz w:val="20"/>
          <w:szCs w:val="20"/>
          <w:vertAlign w:val="subscript"/>
        </w:rPr>
        <w:t>2</w:t>
      </w:r>
      <w:r>
        <w:rPr>
          <w:sz w:val="20"/>
          <w:szCs w:val="20"/>
        </w:rPr>
        <w:t xml:space="preserve"> in the form of nanoparticles significantly improved the efficiency of DSSCs (Chen </w:t>
      </w:r>
      <w:r>
        <w:rPr>
          <w:i/>
          <w:sz w:val="20"/>
          <w:szCs w:val="20"/>
        </w:rPr>
        <w:t>et al.,</w:t>
      </w:r>
      <w:r>
        <w:rPr>
          <w:sz w:val="20"/>
          <w:szCs w:val="20"/>
        </w:rPr>
        <w:t xml:space="preserve"> 2011). The breakthrough in the field of DSSC started after Gratzel employed a mesoporous TiO</w:t>
      </w:r>
      <w:r>
        <w:rPr>
          <w:sz w:val="20"/>
          <w:szCs w:val="20"/>
          <w:vertAlign w:val="subscript"/>
        </w:rPr>
        <w:t>2</w:t>
      </w:r>
      <w:r>
        <w:rPr>
          <w:sz w:val="20"/>
          <w:szCs w:val="20"/>
        </w:rPr>
        <w:t xml:space="preserve"> layer (20 nm-sized nanoparticles) as the anode material. Many years before this breakthrough DSSCs were reported to have a low efficiency of less than 1% (Yeoh and Chan, 2017; Rho </w:t>
      </w:r>
      <w:r>
        <w:rPr>
          <w:i/>
          <w:sz w:val="20"/>
          <w:szCs w:val="20"/>
        </w:rPr>
        <w:t>et al.,</w:t>
      </w:r>
      <w:r>
        <w:rPr>
          <w:sz w:val="20"/>
          <w:szCs w:val="20"/>
        </w:rPr>
        <w:t xml:space="preserve"> 2015).</w:t>
      </w:r>
    </w:p>
    <w:p w14:paraId="598DE9B8">
      <w:pPr>
        <w:pStyle w:val="2"/>
        <w:spacing w:before="0"/>
        <w:jc w:val="both"/>
        <w:rPr>
          <w:rFonts w:ascii="Times New Roman" w:hAnsi="Times New Roman" w:cs="Times New Roman"/>
          <w:color w:val="auto"/>
          <w:sz w:val="20"/>
          <w:szCs w:val="20"/>
        </w:rPr>
      </w:pPr>
      <w:bookmarkStart w:id="24" w:name="_Toc177051987"/>
      <w:bookmarkStart w:id="25" w:name="_Toc177039062"/>
      <w:bookmarkStart w:id="26" w:name="_Toc174692592"/>
      <w:r>
        <w:rPr>
          <w:rFonts w:ascii="Times New Roman" w:hAnsi="Times New Roman" w:cs="Times New Roman"/>
          <w:color w:val="auto"/>
          <w:sz w:val="20"/>
          <w:szCs w:val="20"/>
        </w:rPr>
        <w:t>Zinc Oxide (ZnO)</w:t>
      </w:r>
      <w:bookmarkEnd w:id="24"/>
      <w:bookmarkEnd w:id="25"/>
      <w:bookmarkEnd w:id="26"/>
    </w:p>
    <w:p w14:paraId="344C0AA4">
      <w:pPr>
        <w:jc w:val="both"/>
        <w:rPr>
          <w:sz w:val="20"/>
          <w:szCs w:val="20"/>
        </w:rPr>
      </w:pPr>
      <w:r>
        <w:rPr>
          <w:sz w:val="20"/>
          <w:szCs w:val="20"/>
        </w:rPr>
        <w:t xml:space="preserve">Zinc Oxide happens to be the first semiconductor to be employed in DSSC (Jamalullail </w:t>
      </w:r>
      <w:r>
        <w:rPr>
          <w:i/>
          <w:sz w:val="20"/>
          <w:szCs w:val="20"/>
        </w:rPr>
        <w:t>et al.,</w:t>
      </w:r>
      <w:r>
        <w:rPr>
          <w:sz w:val="20"/>
          <w:szCs w:val="20"/>
        </w:rPr>
        <w:t xml:space="preserve"> 2018). Therefore Zinc Oxide is an alternative material capable of replacing TiO</w:t>
      </w:r>
      <w:r>
        <w:rPr>
          <w:sz w:val="20"/>
          <w:szCs w:val="20"/>
          <w:vertAlign w:val="subscript"/>
        </w:rPr>
        <w:t>2</w:t>
      </w:r>
      <w:r>
        <w:rPr>
          <w:sz w:val="20"/>
          <w:szCs w:val="20"/>
        </w:rPr>
        <w:t xml:space="preserve"> in DSSC. ZnO possesses some advantageous properties over TiO</w:t>
      </w:r>
      <w:r>
        <w:rPr>
          <w:sz w:val="20"/>
          <w:szCs w:val="20"/>
          <w:vertAlign w:val="subscript"/>
        </w:rPr>
        <w:t>2</w:t>
      </w:r>
      <w:r>
        <w:rPr>
          <w:sz w:val="20"/>
          <w:szCs w:val="20"/>
        </w:rPr>
        <w:t xml:space="preserve">. Thus are; higher diffusion coefficient and electron mobility which influence faster charge transport and reduce charge recombination (Quintana </w:t>
      </w:r>
      <w:r>
        <w:rPr>
          <w:i/>
          <w:sz w:val="20"/>
          <w:szCs w:val="20"/>
        </w:rPr>
        <w:t>et al.,</w:t>
      </w:r>
      <w:r>
        <w:rPr>
          <w:sz w:val="20"/>
          <w:szCs w:val="20"/>
        </w:rPr>
        <w:t xml:space="preserve"> 2007). Lower efficiencies were obtained by DSSCs based on ZnO and SnO</w:t>
      </w:r>
      <w:r>
        <w:rPr>
          <w:sz w:val="20"/>
          <w:szCs w:val="20"/>
          <w:vertAlign w:val="subscript"/>
        </w:rPr>
        <w:t>2</w:t>
      </w:r>
      <w:r>
        <w:rPr>
          <w:sz w:val="20"/>
          <w:szCs w:val="20"/>
        </w:rPr>
        <w:t xml:space="preserve"> when compared to those based on nanocrystalline TiO</w:t>
      </w:r>
      <w:r>
        <w:rPr>
          <w:sz w:val="20"/>
          <w:szCs w:val="20"/>
          <w:vertAlign w:val="subscript"/>
        </w:rPr>
        <w:t>2</w:t>
      </w:r>
      <w:r>
        <w:rPr>
          <w:sz w:val="20"/>
          <w:szCs w:val="20"/>
        </w:rPr>
        <w:t xml:space="preserve"> (Bykkam </w:t>
      </w:r>
      <w:r>
        <w:rPr>
          <w:i/>
          <w:sz w:val="20"/>
          <w:szCs w:val="20"/>
        </w:rPr>
        <w:t>et al.,</w:t>
      </w:r>
      <w:r>
        <w:rPr>
          <w:sz w:val="20"/>
          <w:szCs w:val="20"/>
        </w:rPr>
        <w:t xml:space="preserve"> 2021). Titanium dioxide has been regarded as the best alternative semiconductor material for DSSC since 1991 due to its superior photovoltaic and morphological properties compared to other semiconductors (Bai </w:t>
      </w:r>
      <w:r>
        <w:rPr>
          <w:i/>
          <w:sz w:val="20"/>
          <w:szCs w:val="20"/>
        </w:rPr>
        <w:t>et al.,</w:t>
      </w:r>
      <w:r>
        <w:rPr>
          <w:sz w:val="20"/>
          <w:szCs w:val="20"/>
        </w:rPr>
        <w:t xml:space="preserve"> 2014). The energies bandgap of oxide semiconductors are generally large having the following values TiO</w:t>
      </w:r>
      <w:r>
        <w:rPr>
          <w:sz w:val="20"/>
          <w:szCs w:val="20"/>
          <w:vertAlign w:val="subscript"/>
        </w:rPr>
        <w:t>2</w:t>
      </w:r>
      <w:r>
        <w:rPr>
          <w:sz w:val="20"/>
          <w:szCs w:val="20"/>
        </w:rPr>
        <w:t xml:space="preserve"> =3.2-3.4 eV; ZnO = 3.2 eV and SnO</w:t>
      </w:r>
      <w:r>
        <w:rPr>
          <w:sz w:val="20"/>
          <w:szCs w:val="20"/>
          <w:vertAlign w:val="subscript"/>
        </w:rPr>
        <w:t>2</w:t>
      </w:r>
      <w:r>
        <w:rPr>
          <w:sz w:val="20"/>
          <w:szCs w:val="20"/>
        </w:rPr>
        <w:t xml:space="preserve"> = 3.8 eV (Kusumawati, 2015).  It has been reported that low dye regeneration, slow electron injection, and instability of ZnO in an acidic medium, are the factors that influence the poor efficiency of ZnO-based DSSCs, which also limit its application in DSSC (Anta et al., 2012; Pourjafari and Oskam, 2019).</w:t>
      </w:r>
    </w:p>
    <w:p w14:paraId="64410467">
      <w:pPr>
        <w:jc w:val="both"/>
        <w:rPr>
          <w:sz w:val="20"/>
          <w:szCs w:val="20"/>
        </w:rPr>
      </w:pPr>
      <w:r>
        <w:rPr>
          <w:sz w:val="20"/>
          <w:szCs w:val="20"/>
        </w:rPr>
        <w:t>The instability of ZnO in an acidic medium makes the bond formation between the carboxylic group of the dyes and ZnO difficult unlike with TiO</w:t>
      </w:r>
      <w:r>
        <w:rPr>
          <w:sz w:val="20"/>
          <w:szCs w:val="20"/>
          <w:vertAlign w:val="subscript"/>
        </w:rPr>
        <w:t>2</w:t>
      </w:r>
      <w:r>
        <w:rPr>
          <w:sz w:val="20"/>
          <w:szCs w:val="20"/>
        </w:rPr>
        <w:t xml:space="preserve"> which in turn affects the agglomeration of Zn</w:t>
      </w:r>
      <w:r>
        <w:rPr>
          <w:sz w:val="20"/>
          <w:szCs w:val="20"/>
          <w:vertAlign w:val="superscript"/>
        </w:rPr>
        <w:t>2+</w:t>
      </w:r>
      <w:r>
        <w:rPr>
          <w:sz w:val="20"/>
          <w:szCs w:val="20"/>
        </w:rPr>
        <w:t xml:space="preserve"> with the dye. Researchers have employed some materials to solve the problem including; Cholic acid and octanoic Acid (Yarur, 2020). Nanowire, a one-dimensional nanostructure of ZnO reduces the recombination rate of DSSCs (Kiliç </w:t>
      </w:r>
      <w:r>
        <w:rPr>
          <w:i/>
          <w:sz w:val="20"/>
          <w:szCs w:val="20"/>
        </w:rPr>
        <w:t>et al.,</w:t>
      </w:r>
      <w:r>
        <w:rPr>
          <w:sz w:val="20"/>
          <w:szCs w:val="20"/>
        </w:rPr>
        <w:t xml:space="preserve"> 2013) whereas the branched ZnO nanowires can absorb more dye (Cheng </w:t>
      </w:r>
      <w:r>
        <w:rPr>
          <w:i/>
          <w:sz w:val="20"/>
          <w:szCs w:val="20"/>
        </w:rPr>
        <w:t>et al.,</w:t>
      </w:r>
      <w:r>
        <w:rPr>
          <w:sz w:val="20"/>
          <w:szCs w:val="20"/>
        </w:rPr>
        <w:t xml:space="preserve"> 2008).</w:t>
      </w:r>
    </w:p>
    <w:p w14:paraId="2D52C08E">
      <w:pPr>
        <w:pStyle w:val="2"/>
        <w:spacing w:before="0"/>
        <w:jc w:val="both"/>
        <w:rPr>
          <w:rFonts w:ascii="Times New Roman" w:hAnsi="Times New Roman" w:cs="Times New Roman"/>
          <w:color w:val="auto"/>
          <w:sz w:val="20"/>
          <w:szCs w:val="20"/>
        </w:rPr>
      </w:pPr>
      <w:bookmarkStart w:id="27" w:name="_Toc177051988"/>
      <w:r>
        <w:rPr>
          <w:rFonts w:ascii="Times New Roman" w:hAnsi="Times New Roman" w:cs="Times New Roman"/>
          <w:color w:val="auto"/>
          <w:sz w:val="20"/>
          <w:szCs w:val="20"/>
        </w:rPr>
        <w:t>Electrolyte</w:t>
      </w:r>
      <w:bookmarkEnd w:id="27"/>
    </w:p>
    <w:p w14:paraId="5AB1D8F5">
      <w:pPr>
        <w:jc w:val="both"/>
        <w:rPr>
          <w:sz w:val="20"/>
          <w:szCs w:val="20"/>
        </w:rPr>
      </w:pPr>
      <w:r>
        <w:rPr>
          <w:sz w:val="20"/>
          <w:szCs w:val="20"/>
        </w:rPr>
        <w:t xml:space="preserve">An electrolyte facilitates the movement of charges between the working electrode and counter electrode in DSSC. The function of the electrolyte is to regenerate the oxidized sensitizer and transfer the positive charge to the counter electrode, where the redox couple itself is also regenerated by the electrons that flow back through the external circuit (Wu </w:t>
      </w:r>
      <w:r>
        <w:rPr>
          <w:i/>
          <w:sz w:val="20"/>
          <w:szCs w:val="20"/>
        </w:rPr>
        <w:t>et al.,</w:t>
      </w:r>
      <w:r>
        <w:rPr>
          <w:sz w:val="20"/>
          <w:szCs w:val="20"/>
        </w:rPr>
        <w:t xml:space="preserve"> 2015).</w:t>
      </w:r>
    </w:p>
    <w:p w14:paraId="73DD12E1">
      <w:pPr>
        <w:jc w:val="both"/>
        <w:rPr>
          <w:sz w:val="20"/>
          <w:szCs w:val="20"/>
        </w:rPr>
      </w:pPr>
      <w:r>
        <w:rPr>
          <w:sz w:val="20"/>
          <w:szCs w:val="20"/>
        </w:rPr>
        <w:t xml:space="preserve">The electrolytes are of three types such as liquid electrolytes (Verma </w:t>
      </w:r>
      <w:r>
        <w:rPr>
          <w:i/>
          <w:sz w:val="20"/>
          <w:szCs w:val="20"/>
        </w:rPr>
        <w:t>et al.,</w:t>
      </w:r>
      <w:r>
        <w:rPr>
          <w:sz w:val="20"/>
          <w:szCs w:val="20"/>
        </w:rPr>
        <w:t xml:space="preserve"> 2020), Solid state electrolytes (Famprikis </w:t>
      </w:r>
      <w:r>
        <w:rPr>
          <w:i/>
          <w:sz w:val="20"/>
          <w:szCs w:val="20"/>
        </w:rPr>
        <w:t>et al.,</w:t>
      </w:r>
      <w:r>
        <w:rPr>
          <w:sz w:val="20"/>
          <w:szCs w:val="20"/>
        </w:rPr>
        <w:t xml:space="preserve"> 2019), and Quasi-solid state electrolytes (Mahalingam </w:t>
      </w:r>
      <w:r>
        <w:rPr>
          <w:i/>
          <w:sz w:val="20"/>
          <w:szCs w:val="20"/>
        </w:rPr>
        <w:t>et al.,</w:t>
      </w:r>
      <w:r>
        <w:rPr>
          <w:sz w:val="20"/>
          <w:szCs w:val="20"/>
        </w:rPr>
        <w:t xml:space="preserve"> 2022; Amaral </w:t>
      </w:r>
      <w:r>
        <w:rPr>
          <w:i/>
          <w:sz w:val="20"/>
          <w:szCs w:val="20"/>
        </w:rPr>
        <w:t>et al.,</w:t>
      </w:r>
      <w:r>
        <w:rPr>
          <w:sz w:val="20"/>
          <w:szCs w:val="20"/>
        </w:rPr>
        <w:t xml:space="preserve"> 2022).</w:t>
      </w:r>
    </w:p>
    <w:p w14:paraId="032A46D1">
      <w:pPr>
        <w:pStyle w:val="2"/>
        <w:spacing w:before="0"/>
        <w:jc w:val="both"/>
        <w:rPr>
          <w:rFonts w:ascii="Times New Roman" w:hAnsi="Times New Roman" w:cs="Times New Roman"/>
          <w:color w:val="auto"/>
          <w:sz w:val="20"/>
          <w:szCs w:val="20"/>
        </w:rPr>
      </w:pPr>
      <w:bookmarkStart w:id="28" w:name="_Toc177039064"/>
      <w:bookmarkStart w:id="29" w:name="_Toc177051989"/>
      <w:bookmarkStart w:id="30" w:name="_Toc174692594"/>
      <w:r>
        <w:rPr>
          <w:rFonts w:ascii="Times New Roman" w:hAnsi="Times New Roman" w:cs="Times New Roman"/>
          <w:color w:val="auto"/>
          <w:sz w:val="20"/>
          <w:szCs w:val="20"/>
        </w:rPr>
        <w:t>Liquid Electrolyte</w:t>
      </w:r>
      <w:bookmarkEnd w:id="28"/>
      <w:bookmarkEnd w:id="29"/>
      <w:bookmarkEnd w:id="30"/>
    </w:p>
    <w:p w14:paraId="07EB63D2">
      <w:pPr>
        <w:jc w:val="both"/>
        <w:rPr>
          <w:sz w:val="20"/>
          <w:szCs w:val="20"/>
        </w:rPr>
      </w:pPr>
      <w:r>
        <w:rPr>
          <w:sz w:val="20"/>
          <w:szCs w:val="20"/>
        </w:rPr>
        <w:t xml:space="preserve">Liquid electrolytes are of two categories, either Organic or Ionic liquid. The organic electrolyte consists of a redox couple and an additive that is dissolved in an organic solvent (Basile </w:t>
      </w:r>
      <w:r>
        <w:rPr>
          <w:i/>
          <w:sz w:val="20"/>
          <w:szCs w:val="20"/>
        </w:rPr>
        <w:t>et al.,</w:t>
      </w:r>
      <w:r>
        <w:rPr>
          <w:sz w:val="20"/>
          <w:szCs w:val="20"/>
        </w:rPr>
        <w:t xml:space="preserve"> 2018). The redox couple serves as the most crucial component of an electrolyte because it regenerates the oxidized dye by providing an electron. A redox couple concentration in a cell affects its photovoltaic properties. If it is low, the conductivity of the electrolyte is not maintained, but if it is high, the recombination rate is high (Ondersma and Hamann, 2013). The following are the reported redox couple used for DSSCs.</w:t>
      </w:r>
    </w:p>
    <w:p w14:paraId="6C6122FD">
      <w:pPr>
        <w:pStyle w:val="45"/>
        <w:numPr>
          <w:ilvl w:val="0"/>
          <w:numId w:val="2"/>
        </w:numPr>
        <w:jc w:val="both"/>
        <w:rPr>
          <w:sz w:val="20"/>
          <w:szCs w:val="20"/>
        </w:rPr>
      </w:pPr>
      <w:r>
        <w:rPr>
          <w:sz w:val="20"/>
          <w:szCs w:val="20"/>
        </w:rPr>
        <w:t>I</w:t>
      </w:r>
      <w:r>
        <w:rPr>
          <w:sz w:val="20"/>
          <w:szCs w:val="20"/>
          <w:vertAlign w:val="superscript"/>
        </w:rPr>
        <w:t>−</w:t>
      </w:r>
      <w:r>
        <w:rPr>
          <w:sz w:val="20"/>
          <w:szCs w:val="20"/>
        </w:rPr>
        <w:t>/I</w:t>
      </w:r>
      <w:r>
        <w:rPr>
          <w:sz w:val="20"/>
          <w:szCs w:val="20"/>
          <w:vertAlign w:val="superscript"/>
        </w:rPr>
        <w:t>−3</w:t>
      </w:r>
      <w:r>
        <w:rPr>
          <w:sz w:val="20"/>
          <w:szCs w:val="20"/>
        </w:rPr>
        <w:t>, Br</w:t>
      </w:r>
      <w:r>
        <w:rPr>
          <w:sz w:val="20"/>
          <w:szCs w:val="20"/>
          <w:vertAlign w:val="superscript"/>
        </w:rPr>
        <w:t>−</w:t>
      </w:r>
      <w:r>
        <w:rPr>
          <w:sz w:val="20"/>
          <w:szCs w:val="20"/>
        </w:rPr>
        <w:t>/Br</w:t>
      </w:r>
      <w:r>
        <w:rPr>
          <w:sz w:val="20"/>
          <w:szCs w:val="20"/>
          <w:vertAlign w:val="superscript"/>
        </w:rPr>
        <w:t>3−</w:t>
      </w:r>
      <w:r>
        <w:rPr>
          <w:sz w:val="20"/>
          <w:szCs w:val="20"/>
        </w:rPr>
        <w:t xml:space="preserve"> (Suri and Mehra, 2007). The highest efficiency obtained based on the I</w:t>
      </w:r>
      <w:r>
        <w:rPr>
          <w:sz w:val="20"/>
          <w:szCs w:val="20"/>
          <w:vertAlign w:val="superscript"/>
        </w:rPr>
        <w:t>-</w:t>
      </w:r>
      <w:r>
        <w:rPr>
          <w:sz w:val="20"/>
          <w:szCs w:val="20"/>
        </w:rPr>
        <w:t>/I</w:t>
      </w:r>
      <w:r>
        <w:rPr>
          <w:sz w:val="20"/>
          <w:szCs w:val="20"/>
          <w:vertAlign w:val="superscript"/>
        </w:rPr>
        <w:t>-3</w:t>
      </w:r>
      <w:r>
        <w:rPr>
          <w:sz w:val="20"/>
          <w:szCs w:val="20"/>
        </w:rPr>
        <w:t xml:space="preserve"> redox couple is 11.9% (Yella </w:t>
      </w:r>
      <w:r>
        <w:rPr>
          <w:i/>
          <w:sz w:val="20"/>
          <w:szCs w:val="20"/>
        </w:rPr>
        <w:t>et al.,</w:t>
      </w:r>
      <w:r>
        <w:rPr>
          <w:sz w:val="20"/>
          <w:szCs w:val="20"/>
        </w:rPr>
        <w:t xml:space="preserve"> 2011). </w:t>
      </w:r>
    </w:p>
    <w:p w14:paraId="6588417B">
      <w:pPr>
        <w:pStyle w:val="45"/>
        <w:numPr>
          <w:ilvl w:val="0"/>
          <w:numId w:val="2"/>
        </w:numPr>
        <w:jc w:val="both"/>
        <w:rPr>
          <w:sz w:val="20"/>
          <w:szCs w:val="20"/>
          <w:lang w:val="fr-FR"/>
        </w:rPr>
      </w:pPr>
      <w:r>
        <w:rPr>
          <w:sz w:val="20"/>
          <w:szCs w:val="20"/>
          <w:lang w:val="fr-FR"/>
        </w:rPr>
        <w:t>SeCN</w:t>
      </w:r>
      <w:r>
        <w:rPr>
          <w:sz w:val="20"/>
          <w:szCs w:val="20"/>
          <w:vertAlign w:val="superscript"/>
          <w:lang w:val="fr-FR"/>
        </w:rPr>
        <w:t>−</w:t>
      </w:r>
      <w:r>
        <w:rPr>
          <w:sz w:val="20"/>
          <w:szCs w:val="20"/>
          <w:lang w:val="fr-FR"/>
        </w:rPr>
        <w:t>/ (SeCN)</w:t>
      </w:r>
      <w:r>
        <w:rPr>
          <w:sz w:val="20"/>
          <w:szCs w:val="20"/>
          <w:vertAlign w:val="subscript"/>
          <w:lang w:val="fr-FR"/>
        </w:rPr>
        <w:t>2</w:t>
      </w:r>
      <w:r>
        <w:rPr>
          <w:sz w:val="20"/>
          <w:szCs w:val="20"/>
          <w:lang w:val="fr-FR"/>
        </w:rPr>
        <w:t>, SCN</w:t>
      </w:r>
      <w:r>
        <w:rPr>
          <w:sz w:val="20"/>
          <w:szCs w:val="20"/>
          <w:vertAlign w:val="superscript"/>
          <w:lang w:val="fr-FR"/>
        </w:rPr>
        <w:t>−</w:t>
      </w:r>
      <w:r>
        <w:rPr>
          <w:sz w:val="20"/>
          <w:szCs w:val="20"/>
          <w:lang w:val="fr-FR"/>
        </w:rPr>
        <w:t>/ (SCN)</w:t>
      </w:r>
      <w:r>
        <w:rPr>
          <w:sz w:val="20"/>
          <w:szCs w:val="20"/>
          <w:vertAlign w:val="subscript"/>
          <w:lang w:val="fr-FR"/>
        </w:rPr>
        <w:t>2</w:t>
      </w:r>
      <w:r>
        <w:rPr>
          <w:sz w:val="20"/>
          <w:szCs w:val="20"/>
          <w:lang w:val="fr-FR"/>
        </w:rPr>
        <w:t xml:space="preserve"> (Gao </w:t>
      </w:r>
      <w:r>
        <w:rPr>
          <w:i/>
          <w:sz w:val="20"/>
          <w:szCs w:val="20"/>
          <w:lang w:val="fr-FR"/>
        </w:rPr>
        <w:t>et al.,</w:t>
      </w:r>
      <w:r>
        <w:rPr>
          <w:sz w:val="20"/>
          <w:szCs w:val="20"/>
          <w:lang w:val="fr-FR"/>
        </w:rPr>
        <w:t xml:space="preserve"> 2020).</w:t>
      </w:r>
    </w:p>
    <w:p w14:paraId="3744E6DF">
      <w:pPr>
        <w:pStyle w:val="45"/>
        <w:numPr>
          <w:ilvl w:val="0"/>
          <w:numId w:val="2"/>
        </w:numPr>
        <w:jc w:val="both"/>
        <w:rPr>
          <w:sz w:val="20"/>
          <w:szCs w:val="20"/>
        </w:rPr>
      </w:pPr>
      <w:r>
        <w:rPr>
          <w:sz w:val="20"/>
          <w:szCs w:val="20"/>
        </w:rPr>
        <w:t xml:space="preserve">Ferrocene/ferrocenium FeO/I (Walawalkar </w:t>
      </w:r>
      <w:r>
        <w:rPr>
          <w:i/>
          <w:sz w:val="20"/>
          <w:szCs w:val="20"/>
        </w:rPr>
        <w:t>et al.,</w:t>
      </w:r>
      <w:r>
        <w:rPr>
          <w:sz w:val="20"/>
          <w:szCs w:val="20"/>
        </w:rPr>
        <w:t xml:space="preserve"> 2021). </w:t>
      </w:r>
    </w:p>
    <w:p w14:paraId="6959D505">
      <w:pPr>
        <w:pStyle w:val="45"/>
        <w:numPr>
          <w:ilvl w:val="0"/>
          <w:numId w:val="2"/>
        </w:numPr>
        <w:jc w:val="both"/>
        <w:rPr>
          <w:sz w:val="20"/>
          <w:szCs w:val="20"/>
          <w:lang w:val="fr-FR"/>
        </w:rPr>
      </w:pPr>
      <w:r>
        <w:rPr>
          <w:sz w:val="20"/>
          <w:szCs w:val="20"/>
          <w:lang w:val="fr-FR"/>
        </w:rPr>
        <w:t xml:space="preserve">Ni III/IV (Li </w:t>
      </w:r>
      <w:r>
        <w:rPr>
          <w:i/>
          <w:sz w:val="20"/>
          <w:szCs w:val="20"/>
          <w:lang w:val="fr-FR"/>
        </w:rPr>
        <w:t>et al.,</w:t>
      </w:r>
      <w:r>
        <w:rPr>
          <w:sz w:val="20"/>
          <w:szCs w:val="20"/>
          <w:lang w:val="fr-FR"/>
        </w:rPr>
        <w:t xml:space="preserve"> 2011).</w:t>
      </w:r>
    </w:p>
    <w:p w14:paraId="364E231E">
      <w:pPr>
        <w:pStyle w:val="45"/>
        <w:numPr>
          <w:ilvl w:val="0"/>
          <w:numId w:val="2"/>
        </w:numPr>
        <w:jc w:val="both"/>
        <w:rPr>
          <w:sz w:val="20"/>
          <w:szCs w:val="20"/>
        </w:rPr>
      </w:pPr>
      <w:r>
        <w:rPr>
          <w:sz w:val="20"/>
          <w:szCs w:val="20"/>
          <w:lang w:val="fr-FR"/>
        </w:rPr>
        <w:t>CuI/II (Fürer</w:t>
      </w:r>
      <w:r>
        <w:rPr>
          <w:i/>
          <w:sz w:val="20"/>
          <w:szCs w:val="20"/>
          <w:lang w:val="fr-FR"/>
        </w:rPr>
        <w:t>et al.,</w:t>
      </w:r>
      <w:r>
        <w:rPr>
          <w:sz w:val="20"/>
          <w:szCs w:val="20"/>
          <w:lang w:val="fr-FR"/>
        </w:rPr>
        <w:t xml:space="preserve"> 2017). </w:t>
      </w:r>
      <w:r>
        <w:rPr>
          <w:sz w:val="20"/>
          <w:szCs w:val="20"/>
        </w:rPr>
        <w:t>The efficiency of 10% was obtained by copper-based redox couple CuI/II using copper bipyridine complexes and 0.1V redox driving force.</w:t>
      </w:r>
    </w:p>
    <w:p w14:paraId="6EA60ADD">
      <w:pPr>
        <w:pStyle w:val="45"/>
        <w:numPr>
          <w:ilvl w:val="0"/>
          <w:numId w:val="2"/>
        </w:numPr>
        <w:jc w:val="both"/>
        <w:rPr>
          <w:sz w:val="20"/>
          <w:szCs w:val="20"/>
        </w:rPr>
      </w:pPr>
      <w:r>
        <w:rPr>
          <w:sz w:val="20"/>
          <w:szCs w:val="20"/>
          <w:lang w:val="fr-FR"/>
        </w:rPr>
        <w:t>CoII/III (Koh</w:t>
      </w:r>
      <w:r>
        <w:rPr>
          <w:i/>
          <w:sz w:val="20"/>
          <w:szCs w:val="20"/>
          <w:lang w:val="fr-FR"/>
        </w:rPr>
        <w:t>et al.,</w:t>
      </w:r>
      <w:r>
        <w:rPr>
          <w:sz w:val="20"/>
          <w:szCs w:val="20"/>
          <w:lang w:val="fr-FR"/>
        </w:rPr>
        <w:t xml:space="preserve"> 2013). </w:t>
      </w:r>
      <w:r>
        <w:rPr>
          <w:sz w:val="20"/>
          <w:szCs w:val="20"/>
        </w:rPr>
        <w:t>Efficiencies of 13% and 14% were obtained with cobalt-based redox coupled with trisbipyridine ligands and trisphenanthroline, respectively.</w:t>
      </w:r>
    </w:p>
    <w:p w14:paraId="72FBBFBC">
      <w:pPr>
        <w:pStyle w:val="45"/>
        <w:numPr>
          <w:ilvl w:val="0"/>
          <w:numId w:val="2"/>
        </w:numPr>
        <w:jc w:val="both"/>
        <w:rPr>
          <w:sz w:val="20"/>
          <w:szCs w:val="20"/>
        </w:rPr>
      </w:pPr>
      <w:r>
        <mc:AlternateContent>
          <mc:Choice Requires="wps">
            <w:drawing>
              <wp:anchor distT="0" distB="0" distL="114300" distR="114300" simplePos="0" relativeHeight="251672576" behindDoc="0" locked="0" layoutInCell="1" allowOverlap="1">
                <wp:simplePos x="0" y="0"/>
                <wp:positionH relativeFrom="column">
                  <wp:posOffset>2819400</wp:posOffset>
                </wp:positionH>
                <wp:positionV relativeFrom="paragraph">
                  <wp:posOffset>443865</wp:posOffset>
                </wp:positionV>
                <wp:extent cx="495300" cy="316230"/>
                <wp:effectExtent l="0" t="0" r="0" b="0"/>
                <wp:wrapNone/>
                <wp:docPr id="1717472891"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78911E6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2pt;margin-top:34.95pt;height:24.9pt;width:39pt;z-index:251672576;mso-width-relative:page;mso-height-relative:page;" filled="f" stroked="f" coordsize="21600,21600" o:gfxdata="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CZJ8TbAAAACgEAAA8AAAAAAAAAAQAgAAAAIgAAAGRycy9kb3ducmV2&#10;LnhtbFBLAQIUABQAAAAIAIdO4kAcbINMMgIAAG0EAAAOAAAAAAAAAAEAIAAAACoBAABkcnMvZTJv&#10;RG9jLnhtbFBLBQYAAAAABgAGAFkBAADOBQAAAAA=&#10;">
                <v:fill on="f" focussize="0,0"/>
                <v:stroke on="f" weight="0.5pt"/>
                <v:imagedata o:title=""/>
                <o:lock v:ext="edit" aspectratio="f"/>
                <v:textbox>
                  <w:txbxContent>
                    <w:p w14:paraId="78911E6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272</w:t>
                      </w:r>
                    </w:p>
                  </w:txbxContent>
                </v:textbox>
              </v:shape>
            </w:pict>
          </mc:Fallback>
        </mc:AlternateContent>
      </w:r>
      <w:r>
        <w:rPr>
          <w:sz w:val="20"/>
          <w:szCs w:val="20"/>
        </w:rPr>
        <w:t>Sn</w:t>
      </w:r>
      <w:r>
        <w:rPr>
          <w:sz w:val="20"/>
          <w:szCs w:val="20"/>
          <w:vertAlign w:val="superscript"/>
        </w:rPr>
        <w:t>2+</w:t>
      </w:r>
      <w:r>
        <w:rPr>
          <w:sz w:val="20"/>
          <w:szCs w:val="20"/>
        </w:rPr>
        <w:t xml:space="preserve">/Sn (Wei and Amaratunga, 2007). </w:t>
      </w:r>
    </w:p>
    <w:p w14:paraId="3EF78E73">
      <w:pPr>
        <w:pStyle w:val="45"/>
        <w:numPr>
          <w:ilvl w:val="0"/>
          <w:numId w:val="2"/>
        </w:numPr>
        <w:jc w:val="both"/>
        <w:rPr>
          <w:sz w:val="20"/>
          <w:szCs w:val="20"/>
        </w:rPr>
      </w:pPr>
      <w:r>
        <w:rPr>
          <w:sz w:val="20"/>
          <w:szCs w:val="20"/>
        </w:rPr>
        <w:t xml:space="preserve">Organic compounds such as TEMPO (2,2,6,6-tetramethyl-piperidine-1-oxyl) (Dhar </w:t>
      </w:r>
      <w:r>
        <w:rPr>
          <w:i/>
          <w:sz w:val="20"/>
          <w:szCs w:val="20"/>
        </w:rPr>
        <w:t>et al.,</w:t>
      </w:r>
      <w:r>
        <w:rPr>
          <w:sz w:val="20"/>
          <w:szCs w:val="20"/>
        </w:rPr>
        <w:t xml:space="preserve"> 2018). </w:t>
      </w:r>
    </w:p>
    <w:p w14:paraId="3A20B50F">
      <w:pPr>
        <w:jc w:val="both"/>
        <w:rPr>
          <w:sz w:val="20"/>
          <w:szCs w:val="20"/>
        </w:rPr>
      </w:pPr>
      <w:r>
        <w:rPr>
          <w:sz w:val="20"/>
          <w:szCs w:val="20"/>
        </w:rPr>
        <w:t>Among all the redox couples I</w:t>
      </w:r>
      <w:r>
        <w:rPr>
          <w:sz w:val="20"/>
          <w:szCs w:val="20"/>
          <w:vertAlign w:val="superscript"/>
        </w:rPr>
        <w:t>−</w:t>
      </w:r>
      <w:r>
        <w:rPr>
          <w:sz w:val="20"/>
          <w:szCs w:val="20"/>
        </w:rPr>
        <w:t>/I</w:t>
      </w:r>
      <w:r>
        <w:rPr>
          <w:sz w:val="20"/>
          <w:szCs w:val="20"/>
          <w:vertAlign w:val="superscript"/>
        </w:rPr>
        <w:t>−3</w:t>
      </w:r>
      <w:r>
        <w:rPr>
          <w:sz w:val="20"/>
          <w:szCs w:val="20"/>
        </w:rPr>
        <w:t xml:space="preserve"> is the most advantageous and popular redox couple employed in DSSCs because of its high solubility, slow reduction kinetics, and slow recombination reaction (Boschloo, 2019). </w:t>
      </w:r>
    </w:p>
    <w:p w14:paraId="13CECDC7">
      <w:pPr>
        <w:pStyle w:val="2"/>
        <w:spacing w:before="0"/>
        <w:jc w:val="both"/>
        <w:rPr>
          <w:rFonts w:ascii="Times New Roman" w:hAnsi="Times New Roman" w:cs="Times New Roman"/>
          <w:color w:val="auto"/>
          <w:sz w:val="20"/>
          <w:szCs w:val="20"/>
        </w:rPr>
      </w:pPr>
      <w:bookmarkStart w:id="31" w:name="_Toc177051990"/>
      <w:bookmarkStart w:id="32" w:name="_Toc177039065"/>
      <w:bookmarkStart w:id="33" w:name="_Toc174692595"/>
      <w:r>
        <w:rPr>
          <w:rFonts w:ascii="Times New Roman" w:hAnsi="Times New Roman" w:cs="Times New Roman"/>
          <w:color w:val="auto"/>
          <w:sz w:val="20"/>
          <w:szCs w:val="20"/>
        </w:rPr>
        <w:t>Ionic Liquid Electrolyte</w:t>
      </w:r>
      <w:bookmarkEnd w:id="31"/>
      <w:bookmarkEnd w:id="32"/>
      <w:bookmarkEnd w:id="33"/>
    </w:p>
    <w:p w14:paraId="7FB91026">
      <w:pPr>
        <w:jc w:val="both"/>
        <w:rPr>
          <w:sz w:val="20"/>
          <w:szCs w:val="20"/>
        </w:rPr>
      </w:pPr>
      <w:r>
        <w:rPr>
          <w:sz w:val="20"/>
          <w:szCs w:val="20"/>
        </w:rPr>
        <w:t xml:space="preserve">Ionic liquid electrolyte is another type of liquid electrolyte.These are an interesting type of liquid electrolytes that contain organic salt cations. It’s stable at room temperature and has a high conductivity of charges. An ionic liquid doesn’t have vapor pressure which helps to eliminate the problem of electrolyte drying. Some ionic liquids are hygroscopic (Galiński </w:t>
      </w:r>
      <w:r>
        <w:rPr>
          <w:i/>
          <w:sz w:val="20"/>
          <w:szCs w:val="20"/>
        </w:rPr>
        <w:t>et al.,</w:t>
      </w:r>
      <w:r>
        <w:rPr>
          <w:sz w:val="20"/>
          <w:szCs w:val="20"/>
        </w:rPr>
        <w:t xml:space="preserve"> 2006).</w:t>
      </w:r>
    </w:p>
    <w:p w14:paraId="79AD7F3B">
      <w:pPr>
        <w:jc w:val="both"/>
        <w:rPr>
          <w:sz w:val="20"/>
          <w:szCs w:val="20"/>
        </w:rPr>
      </w:pPr>
      <w:r>
        <w:rPr>
          <w:sz w:val="20"/>
          <w:szCs w:val="20"/>
        </w:rPr>
        <w:t xml:space="preserve">Due to its fluidic nature, ionic liquid in some cases serves a double purpose; as the source of iodide ions and as the solvent, an example is 1-methyl 3- propyl imidazolium iodide (PMII) or 1,2- dimethyl imidazolium iodide (DMPII). The high viscosity of many ionic liquids affects the efficiency of the cell by slowing the ionic diffusion (Lee and Ho, 2018). Examples of ionic liquid electrolytes are Pyridinium, imidazolium, and halide anions Researchers are exploring greener ionic liquids to be used to reduce the toxicity of DSSCs (Eshetu </w:t>
      </w:r>
      <w:r>
        <w:rPr>
          <w:i/>
          <w:sz w:val="20"/>
          <w:szCs w:val="20"/>
        </w:rPr>
        <w:t>et al.,</w:t>
      </w:r>
      <w:r>
        <w:rPr>
          <w:sz w:val="20"/>
          <w:szCs w:val="20"/>
        </w:rPr>
        <w:t xml:space="preserve"> 2016). </w:t>
      </w:r>
    </w:p>
    <w:p w14:paraId="0FF6FD56">
      <w:pPr>
        <w:pStyle w:val="2"/>
        <w:spacing w:before="0"/>
        <w:jc w:val="both"/>
        <w:rPr>
          <w:rFonts w:ascii="Times New Roman" w:hAnsi="Times New Roman" w:cs="Times New Roman"/>
          <w:color w:val="auto"/>
          <w:sz w:val="20"/>
          <w:szCs w:val="20"/>
        </w:rPr>
      </w:pPr>
      <w:bookmarkStart w:id="34" w:name="_Toc174692596"/>
      <w:bookmarkStart w:id="35" w:name="_Toc177051991"/>
      <w:bookmarkStart w:id="36" w:name="_Toc177039066"/>
      <w:r>
        <w:rPr>
          <w:rFonts w:ascii="Times New Roman" w:hAnsi="Times New Roman" w:cs="Times New Roman"/>
          <w:color w:val="auto"/>
          <w:sz w:val="20"/>
          <w:szCs w:val="20"/>
        </w:rPr>
        <w:t>Solid-State Electrolytes</w:t>
      </w:r>
      <w:bookmarkEnd w:id="34"/>
      <w:bookmarkEnd w:id="35"/>
      <w:bookmarkEnd w:id="36"/>
      <w:r>
        <w:rPr>
          <w:rFonts w:ascii="Times New Roman" w:hAnsi="Times New Roman" w:cs="Times New Roman"/>
          <w:color w:val="auto"/>
          <w:sz w:val="20"/>
          <w:szCs w:val="20"/>
        </w:rPr>
        <w:t xml:space="preserve"> </w:t>
      </w:r>
    </w:p>
    <w:p w14:paraId="11618C4F">
      <w:pPr>
        <w:jc w:val="both"/>
        <w:rPr>
          <w:sz w:val="20"/>
          <w:szCs w:val="20"/>
        </w:rPr>
      </w:pPr>
      <w:r>
        <w:rPr>
          <w:sz w:val="20"/>
          <w:szCs w:val="20"/>
        </w:rPr>
        <w:t xml:space="preserve">The deficiencies of liquid electrolytes concerning electrolyte leakage and long-term stability lead to the development of solid-state electrolytes to improve the performance and stability of the DSSCs (Wang </w:t>
      </w:r>
      <w:r>
        <w:rPr>
          <w:i/>
          <w:sz w:val="20"/>
          <w:szCs w:val="20"/>
        </w:rPr>
        <w:t>et al.,</w:t>
      </w:r>
      <w:r>
        <w:rPr>
          <w:sz w:val="20"/>
          <w:szCs w:val="20"/>
        </w:rPr>
        <w:t xml:space="preserve"> 2020). As an alternative to liquid electrolytes, researchers have used a variety of materials whose bandgap energy levels are compatible with the conduction bands of the n-type semiconductor and sensitizer HOMO levels (Odobel and Pellegrin, 2013). High rates of recombination and poor penetration (contact) into the photoelectrode (TiO</w:t>
      </w:r>
      <w:r>
        <w:rPr>
          <w:sz w:val="20"/>
          <w:szCs w:val="20"/>
          <w:vertAlign w:val="subscript"/>
        </w:rPr>
        <w:t>2</w:t>
      </w:r>
      <w:r>
        <w:rPr>
          <w:sz w:val="20"/>
          <w:szCs w:val="20"/>
        </w:rPr>
        <w:t xml:space="preserve">) layer are reasons behind the low conversion efficiency of solid-state electrolytes. Some examples that show good conductive properties are mentioned herein, thus are; Copper bromide (CuBr) complexes, Copper iodide (CuI), 2,2′7,7′-tetrakis-(N,N-di-p-methoxyphenyl-amine)-9,9′-spirobifluorene (spiro-MeOTAD), Copper thiocyanate (CuSCN), and the conducting polymer poly(3,4-ethylenedioxythiophene) (PEDOT) ( Song et al., 2014; Kang </w:t>
      </w:r>
      <w:r>
        <w:rPr>
          <w:i/>
          <w:sz w:val="20"/>
          <w:szCs w:val="20"/>
        </w:rPr>
        <w:t>et al.,</w:t>
      </w:r>
      <w:r>
        <w:rPr>
          <w:sz w:val="20"/>
          <w:szCs w:val="20"/>
        </w:rPr>
        <w:t xml:space="preserve"> 2007).</w:t>
      </w:r>
    </w:p>
    <w:p w14:paraId="665071C9">
      <w:pPr>
        <w:pStyle w:val="2"/>
        <w:spacing w:before="0"/>
        <w:jc w:val="both"/>
        <w:rPr>
          <w:rFonts w:ascii="Times New Roman" w:hAnsi="Times New Roman" w:cs="Times New Roman"/>
          <w:color w:val="auto"/>
          <w:sz w:val="20"/>
          <w:szCs w:val="20"/>
        </w:rPr>
      </w:pPr>
      <w:bookmarkStart w:id="37" w:name="_Toc177051992"/>
      <w:bookmarkStart w:id="38" w:name="_Toc174692597"/>
      <w:bookmarkStart w:id="39" w:name="_Toc177039067"/>
      <w:r>
        <w:rPr>
          <w:rFonts w:ascii="Times New Roman" w:hAnsi="Times New Roman" w:cs="Times New Roman"/>
          <w:color w:val="auto"/>
          <w:sz w:val="20"/>
          <w:szCs w:val="20"/>
        </w:rPr>
        <w:t>Quasi Solid-State Electrolytes</w:t>
      </w:r>
      <w:bookmarkEnd w:id="37"/>
      <w:bookmarkEnd w:id="38"/>
      <w:bookmarkEnd w:id="39"/>
    </w:p>
    <w:p w14:paraId="372A29FA">
      <w:pPr>
        <w:jc w:val="both"/>
        <w:rPr>
          <w:sz w:val="20"/>
          <w:szCs w:val="20"/>
        </w:rPr>
      </w:pPr>
      <w:r>
        <w:rPr>
          <w:sz w:val="20"/>
          <w:szCs w:val="20"/>
        </w:rPr>
        <w:t xml:space="preserve">The issues of poor contact with the photoelectrodes of solid-state electrolytes and that of electrolyte leakage of liquid electrolytes have been resolved by a quasi-solid-state electrolyte (QSSE). QSSE is a composite of polymer and liquid electrolytes that show long-term stability with good electrical conductivity, and better interfacial contact (Venkatesan </w:t>
      </w:r>
      <w:r>
        <w:rPr>
          <w:i/>
          <w:sz w:val="20"/>
          <w:szCs w:val="20"/>
        </w:rPr>
        <w:t>et al.,</w:t>
      </w:r>
      <w:r>
        <w:rPr>
          <w:sz w:val="20"/>
          <w:szCs w:val="20"/>
        </w:rPr>
        <w:t xml:space="preserve"> 2021; Gunasekaran </w:t>
      </w:r>
      <w:r>
        <w:rPr>
          <w:i/>
          <w:sz w:val="20"/>
          <w:szCs w:val="20"/>
        </w:rPr>
        <w:t>et al.,</w:t>
      </w:r>
      <w:r>
        <w:rPr>
          <w:sz w:val="20"/>
          <w:szCs w:val="20"/>
        </w:rPr>
        <w:t xml:space="preserve"> 2021). Temperature plays a major role in having high efficiency in QSSE due to the change of phase experienced when temperature increases from gel to a solution (Meng </w:t>
      </w:r>
      <w:r>
        <w:rPr>
          <w:i/>
          <w:sz w:val="20"/>
          <w:szCs w:val="20"/>
        </w:rPr>
        <w:t>et al.,</w:t>
      </w:r>
      <w:r>
        <w:rPr>
          <w:sz w:val="20"/>
          <w:szCs w:val="20"/>
        </w:rPr>
        <w:t xml:space="preserve"> 2021). Efficiencies of 8.1% and 10.1% were obtained by QSSE-based DSSCs using ethylene oxide propylene oxide oligomer and TEMPO in a redox-active polymer gel respectively (Tomar </w:t>
      </w:r>
      <w:r>
        <w:rPr>
          <w:i/>
          <w:sz w:val="20"/>
          <w:szCs w:val="20"/>
        </w:rPr>
        <w:t>et al.,</w:t>
      </w:r>
      <w:r>
        <w:rPr>
          <w:sz w:val="20"/>
          <w:szCs w:val="20"/>
        </w:rPr>
        <w:t xml:space="preserve"> 2020).</w:t>
      </w:r>
    </w:p>
    <w:p w14:paraId="67991C42">
      <w:pPr>
        <w:pStyle w:val="2"/>
        <w:spacing w:before="0"/>
        <w:jc w:val="both"/>
        <w:rPr>
          <w:rFonts w:ascii="Times New Roman" w:hAnsi="Times New Roman" w:cs="Times New Roman"/>
          <w:color w:val="auto"/>
          <w:sz w:val="20"/>
          <w:szCs w:val="20"/>
        </w:rPr>
      </w:pPr>
      <w:bookmarkStart w:id="40" w:name="_Toc177051993"/>
      <w:r>
        <w:rPr>
          <w:rFonts w:ascii="Times New Roman" w:hAnsi="Times New Roman" w:cs="Times New Roman"/>
          <w:color w:val="auto"/>
          <w:sz w:val="20"/>
          <w:szCs w:val="20"/>
        </w:rPr>
        <w:t>Counter electrode</w:t>
      </w:r>
      <w:bookmarkEnd w:id="40"/>
    </w:p>
    <w:p w14:paraId="77DDF1E8">
      <w:pPr>
        <w:jc w:val="both"/>
        <w:rPr>
          <w:sz w:val="20"/>
          <w:szCs w:val="20"/>
        </w:rPr>
      </w:pPr>
      <w:r>
        <w:rPr>
          <w:sz w:val="20"/>
          <w:szCs w:val="20"/>
        </w:rPr>
        <w:t xml:space="preserve">A counter electrode is an important component of the DSSC to which the redox mediator is reduced. Its function is to transfer the electrons coming from the external circuit back to the redox electrolyte (regeneration of the dye) (Thomas </w:t>
      </w:r>
      <w:r>
        <w:rPr>
          <w:i/>
          <w:sz w:val="20"/>
          <w:szCs w:val="20"/>
        </w:rPr>
        <w:t>et al.,</w:t>
      </w:r>
      <w:r>
        <w:rPr>
          <w:sz w:val="20"/>
          <w:szCs w:val="20"/>
        </w:rPr>
        <w:t xml:space="preserve"> 2014). The counter electrode must be well conductive with a low overvoltage to enable the reduction of the redox couple. However, it may also serve as a mirror to reflect the light transmitted by the photo electrode and allow it to pass through a second time, thereby improving the light absorption property with a given amount of sensitizer (Wu </w:t>
      </w:r>
      <w:r>
        <w:rPr>
          <w:i/>
          <w:sz w:val="20"/>
          <w:szCs w:val="20"/>
        </w:rPr>
        <w:t>et al.,</w:t>
      </w:r>
      <w:r>
        <w:rPr>
          <w:sz w:val="20"/>
          <w:szCs w:val="20"/>
        </w:rPr>
        <w:t xml:space="preserve"> 2017). The counter electrode is composed of platinum (Pt) coated FTO glass to enable more reversible electron transfer (Farooq </w:t>
      </w:r>
      <w:r>
        <w:rPr>
          <w:i/>
          <w:sz w:val="20"/>
          <w:szCs w:val="20"/>
        </w:rPr>
        <w:t>et al.,</w:t>
      </w:r>
      <w:r>
        <w:rPr>
          <w:sz w:val="20"/>
          <w:szCs w:val="20"/>
        </w:rPr>
        <w:t xml:space="preserve"> 2019; Yoon </w:t>
      </w:r>
      <w:r>
        <w:rPr>
          <w:i/>
          <w:sz w:val="20"/>
          <w:szCs w:val="20"/>
        </w:rPr>
        <w:t>et al.,</w:t>
      </w:r>
      <w:r>
        <w:rPr>
          <w:sz w:val="20"/>
          <w:szCs w:val="20"/>
        </w:rPr>
        <w:t xml:space="preserve"> 2008).</w:t>
      </w:r>
    </w:p>
    <w:p w14:paraId="18963AA2">
      <w:pPr>
        <w:jc w:val="both"/>
        <w:rPr>
          <w:sz w:val="20"/>
          <w:szCs w:val="20"/>
        </w:rPr>
      </w:pPr>
      <w:r>
        <w:rPr>
          <w:sz w:val="20"/>
          <w:szCs w:val="20"/>
        </w:rPr>
        <w:t xml:space="preserve">The importance of employing Platinum lies in its higher catalytic activity towards the iodide/triiodide redox reaction (Kaniyoor and Ramaprabhu, 2012). To reduce the cell fabrication costs, a few nanometer layers of Platinum are needed usually about 5 </w:t>
      </w:r>
      <w:r>
        <w:rPr>
          <w:sz w:val="20"/>
          <w:szCs w:val="20"/>
        </w:rPr>
        <w:sym w:font="Symbol" w:char="F06D"/>
      </w:r>
      <w:r>
        <w:rPr>
          <w:sz w:val="20"/>
          <w:szCs w:val="20"/>
        </w:rPr>
        <w:t xml:space="preserve">g.cm </w:t>
      </w:r>
      <w:r>
        <w:rPr>
          <w:sz w:val="20"/>
          <w:szCs w:val="20"/>
          <w:vertAlign w:val="superscript"/>
        </w:rPr>
        <w:t xml:space="preserve">-2 </w:t>
      </w:r>
      <w:r>
        <w:rPr>
          <w:sz w:val="20"/>
          <w:szCs w:val="20"/>
        </w:rPr>
        <w:t xml:space="preserve">(Christensen </w:t>
      </w:r>
      <w:r>
        <w:rPr>
          <w:i/>
          <w:sz w:val="20"/>
          <w:szCs w:val="20"/>
        </w:rPr>
        <w:t>et al.,</w:t>
      </w:r>
      <w:r>
        <w:rPr>
          <w:sz w:val="20"/>
          <w:szCs w:val="20"/>
        </w:rPr>
        <w:t xml:space="preserve"> 2009; Raimondi </w:t>
      </w:r>
      <w:r>
        <w:rPr>
          <w:i/>
          <w:sz w:val="20"/>
          <w:szCs w:val="20"/>
        </w:rPr>
        <w:t>et al.,</w:t>
      </w:r>
      <w:r>
        <w:rPr>
          <w:sz w:val="20"/>
          <w:szCs w:val="20"/>
        </w:rPr>
        <w:t xml:space="preserve"> 2005), the thin Platinum layer is almost transparent, platinum-plated counter electrodes should be used in cells that require reverse lighting. Many materials, such as activated carbon on FTO glass, graphite, alloys, carbon black, and organic-ion doped conducting polymer of poly(3,4-ethylenedioxythiophene) (PEDOT) on both FTO-glass and ITO- glass has been used as counter electrodes in DSSCs (Hunter, 2016), (Zhang </w:t>
      </w:r>
      <w:r>
        <w:rPr>
          <w:i/>
          <w:sz w:val="20"/>
          <w:szCs w:val="20"/>
        </w:rPr>
        <w:t>et al.,</w:t>
      </w:r>
      <w:r>
        <w:rPr>
          <w:sz w:val="20"/>
          <w:szCs w:val="20"/>
        </w:rPr>
        <w:t xml:space="preserve"> 2021). The main problem with these materials is that to have high catalytic activity, thick layers of them are required. A thick layer absorbs light and slows the production process (Briscoe and Dunn, 2016). Sometimes, a thin layer of gold is employed to help in improving the fill factor. However, the efficiency obtained when platinum is employed is higher compared to when any other material is employed (Kloke </w:t>
      </w:r>
      <w:r>
        <w:rPr>
          <w:i/>
          <w:sz w:val="20"/>
          <w:szCs w:val="20"/>
        </w:rPr>
        <w:t>et al.,</w:t>
      </w:r>
      <w:r>
        <w:rPr>
          <w:sz w:val="20"/>
          <w:szCs w:val="20"/>
        </w:rPr>
        <w:t xml:space="preserve"> 2011). The most commonly used catalyst is platinum (Pt). Platinum is chemically stable in the electrolyte. Platinum is placed on the substrate by thermal annealing of a salt, sputtering, or pyrolysis (Chen and Holt-Hindle, 2010). </w:t>
      </w:r>
    </w:p>
    <w:p w14:paraId="56541B50">
      <w:pPr>
        <w:pStyle w:val="2"/>
        <w:spacing w:before="0"/>
        <w:jc w:val="both"/>
        <w:rPr>
          <w:rFonts w:ascii="Times New Roman" w:hAnsi="Times New Roman" w:cs="Times New Roman"/>
          <w:color w:val="auto"/>
          <w:sz w:val="20"/>
          <w:szCs w:val="20"/>
        </w:rPr>
      </w:pPr>
      <w:bookmarkStart w:id="41" w:name="_Toc177051994"/>
      <w:r>
        <w:rPr>
          <w:rFonts w:ascii="Times New Roman" w:hAnsi="Times New Roman" w:cs="Times New Roman"/>
          <w:color w:val="auto"/>
          <w:sz w:val="20"/>
          <w:szCs w:val="20"/>
        </w:rPr>
        <w:t>Dyes (photosensitizers)</w:t>
      </w:r>
      <w:bookmarkEnd w:id="41"/>
    </w:p>
    <w:p w14:paraId="73A8AA52">
      <w:pPr>
        <w:jc w:val="both"/>
        <w:rPr>
          <w:sz w:val="20"/>
          <w:szCs w:val="20"/>
        </w:rPr>
      </w:pPr>
      <w:r>
        <mc:AlternateContent>
          <mc:Choice Requires="wps">
            <w:drawing>
              <wp:anchor distT="0" distB="0" distL="114300" distR="114300" simplePos="0" relativeHeight="251673600" behindDoc="0" locked="0" layoutInCell="1" allowOverlap="1">
                <wp:simplePos x="0" y="0"/>
                <wp:positionH relativeFrom="column">
                  <wp:posOffset>2844800</wp:posOffset>
                </wp:positionH>
                <wp:positionV relativeFrom="paragraph">
                  <wp:posOffset>1339850</wp:posOffset>
                </wp:positionV>
                <wp:extent cx="495300" cy="316230"/>
                <wp:effectExtent l="0" t="0" r="0" b="0"/>
                <wp:wrapNone/>
                <wp:docPr id="1578300811"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6A4DF7C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pt;margin-top:105.5pt;height:24.9pt;width:39pt;z-index:251673600;mso-width-relative:page;mso-height-relative:page;" filled="f" stroked="f" coordsize="21600,21600" o:gfxdata="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n61udsAAAALAQAADwAAAAAAAAABACAAAAAiAAAAZHJzL2Rvd25yZXYu&#10;eG1sUEsBAhQAFAAAAAgAh07iQNgtLXoxAgAAbQQAAA4AAAAAAAAAAQAgAAAAKgEAAGRycy9lMm9E&#10;b2MueG1sUEsFBgAAAAAGAAYAWQEAAM0FAAAAAA==&#10;">
                <v:fill on="f" focussize="0,0"/>
                <v:stroke on="f" weight="0.5pt"/>
                <v:imagedata o:title=""/>
                <o:lock v:ext="edit" aspectratio="f"/>
                <v:textbox>
                  <w:txbxContent>
                    <w:p w14:paraId="6A4DF7C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273</w:t>
                      </w:r>
                    </w:p>
                  </w:txbxContent>
                </v:textbox>
              </v:shape>
            </w:pict>
          </mc:Fallback>
        </mc:AlternateContent>
      </w:r>
      <w:r>
        <w:rPr>
          <w:sz w:val="20"/>
          <w:szCs w:val="20"/>
        </w:rPr>
        <w:t>Photosensitizers absorb visible light and move electrons to the conduction band of semiconductors. It is chemically bonded to the porous surface of a semiconductor. Photosensitizers are the key component of DSSC that influenced the increase in the efficiency of the cell through their ability to absorb visible light (Pallikkara and Ramakrishnan, 2021). Some criteria have to be fulfilled in selecting a suitable sensitizer for DSSC applications to have an efficient sensitization.</w:t>
      </w:r>
    </w:p>
    <w:p w14:paraId="289AF8F6">
      <w:pPr>
        <w:jc w:val="both"/>
        <w:rPr>
          <w:sz w:val="20"/>
          <w:szCs w:val="20"/>
        </w:rPr>
      </w:pPr>
      <w:r>
        <w:rPr>
          <w:sz w:val="20"/>
          <w:szCs w:val="20"/>
        </w:rPr>
        <w:t>i. The sensitizer should have a wide absorption spectrum to absorb a wide range of solar radiation.</w:t>
      </w:r>
    </w:p>
    <w:p w14:paraId="5C4DC1DE">
      <w:pPr>
        <w:jc w:val="both"/>
        <w:rPr>
          <w:sz w:val="20"/>
          <w:szCs w:val="20"/>
        </w:rPr>
      </w:pPr>
      <w:r>
        <w:rPr>
          <w:sz w:val="20"/>
          <w:szCs w:val="20"/>
        </w:rPr>
        <w:t>ii. The sensitizer's absorption coefficient (ε) should be higher than the absorption spectrum so that the minimum amount of sensitizer can absorb most of the visible light.</w:t>
      </w:r>
    </w:p>
    <w:p w14:paraId="2E134CF2">
      <w:pPr>
        <w:jc w:val="both"/>
        <w:rPr>
          <w:sz w:val="20"/>
          <w:szCs w:val="20"/>
        </w:rPr>
      </w:pPr>
      <w:r>
        <w:rPr>
          <w:sz w:val="20"/>
          <w:szCs w:val="20"/>
        </w:rPr>
        <w:t>iii. For faster electron injection, the excited state energy of the sensitizer must be above the conduction band edge of the semiconductor.</w:t>
      </w:r>
    </w:p>
    <w:p w14:paraId="357BBDF3">
      <w:pPr>
        <w:jc w:val="both"/>
        <w:rPr>
          <w:sz w:val="20"/>
          <w:szCs w:val="20"/>
        </w:rPr>
      </w:pPr>
      <w:r>
        <w:rPr>
          <w:sz w:val="20"/>
          <w:szCs w:val="20"/>
        </w:rPr>
        <w:t>iv. For efficient electron injection, it is necessary to have a longer excited state lifetime of the sensitizer.</w:t>
      </w:r>
    </w:p>
    <w:p w14:paraId="6732EB8A">
      <w:pPr>
        <w:jc w:val="both"/>
        <w:rPr>
          <w:sz w:val="20"/>
          <w:szCs w:val="20"/>
        </w:rPr>
      </w:pPr>
      <w:r>
        <w:rPr>
          <w:sz w:val="20"/>
          <w:szCs w:val="20"/>
        </w:rPr>
        <w:t>v. The oxidized sensitizer must have a higher positive potential than the redox couple in the electrolyte to prevent the injected electrons from recombining with the oxidized sensitizer. On the other hand, the redox potential of the electrolyte must be a positive value as it determines the potential of the counter electrode which influences the photovoltaic properties of the cell.</w:t>
      </w:r>
    </w:p>
    <w:p w14:paraId="27830C4A">
      <w:pPr>
        <w:jc w:val="both"/>
        <w:rPr>
          <w:sz w:val="20"/>
          <w:szCs w:val="20"/>
        </w:rPr>
      </w:pPr>
      <w:r>
        <w:rPr>
          <w:sz w:val="20"/>
          <w:szCs w:val="20"/>
        </w:rPr>
        <w:t>vi. The sensitizer requires a binding group (COOH, H</w:t>
      </w:r>
      <w:r>
        <w:rPr>
          <w:sz w:val="20"/>
          <w:szCs w:val="20"/>
          <w:vertAlign w:val="subscript"/>
        </w:rPr>
        <w:t>2</w:t>
      </w:r>
      <w:r>
        <w:rPr>
          <w:sz w:val="20"/>
          <w:szCs w:val="20"/>
        </w:rPr>
        <w:t>PO</w:t>
      </w:r>
      <w:r>
        <w:rPr>
          <w:sz w:val="20"/>
          <w:szCs w:val="20"/>
          <w:vertAlign w:val="subscript"/>
        </w:rPr>
        <w:t>3</w:t>
      </w:r>
      <w:r>
        <w:rPr>
          <w:sz w:val="20"/>
          <w:szCs w:val="20"/>
        </w:rPr>
        <w:t>, SO</w:t>
      </w:r>
      <w:r>
        <w:rPr>
          <w:sz w:val="20"/>
          <w:szCs w:val="20"/>
          <w:vertAlign w:val="subscript"/>
        </w:rPr>
        <w:t>3</w:t>
      </w:r>
      <w:r>
        <w:rPr>
          <w:sz w:val="20"/>
          <w:szCs w:val="20"/>
        </w:rPr>
        <w:t>H, etc.) that acts as a bridge for electron injection.</w:t>
      </w:r>
    </w:p>
    <w:p w14:paraId="697B2FB9">
      <w:pPr>
        <w:jc w:val="both"/>
        <w:rPr>
          <w:sz w:val="20"/>
          <w:szCs w:val="20"/>
        </w:rPr>
      </w:pPr>
      <w:r>
        <w:rPr>
          <w:sz w:val="20"/>
          <w:szCs w:val="20"/>
        </w:rPr>
        <w:t>vii. The sensitizer must be soluble in solvent for adsorption to take place on the electrodes and must not be desorbed by the electrolyte redox.</w:t>
      </w:r>
    </w:p>
    <w:p w14:paraId="35E2B8EE">
      <w:pPr>
        <w:jc w:val="both"/>
        <w:rPr>
          <w:sz w:val="20"/>
          <w:szCs w:val="20"/>
        </w:rPr>
      </w:pPr>
      <w:r>
        <w:rPr>
          <w:sz w:val="20"/>
          <w:szCs w:val="20"/>
        </w:rPr>
        <w:t xml:space="preserve">viii. The sensitizer must be chemically, thermally, and electrochemically stable in the electrolyte medium and during exposure to sunlight (Carella </w:t>
      </w:r>
      <w:r>
        <w:rPr>
          <w:i/>
          <w:sz w:val="20"/>
          <w:szCs w:val="20"/>
        </w:rPr>
        <w:t>et al.,</w:t>
      </w:r>
      <w:r>
        <w:rPr>
          <w:sz w:val="20"/>
          <w:szCs w:val="20"/>
        </w:rPr>
        <w:t xml:space="preserve"> 2018).</w:t>
      </w:r>
    </w:p>
    <w:p w14:paraId="55DD4B71">
      <w:pPr>
        <w:jc w:val="both"/>
        <w:rPr>
          <w:sz w:val="20"/>
          <w:szCs w:val="20"/>
        </w:rPr>
      </w:pPr>
      <w:r>
        <w:rPr>
          <w:sz w:val="20"/>
          <w:szCs w:val="20"/>
        </w:rPr>
        <w:t xml:space="preserve">Three main families of sensitizers have been studied for use in DSSCs. Thus are; Metal-based sensitizers like, Ruthenium (Vougioukalakis </w:t>
      </w:r>
      <w:r>
        <w:rPr>
          <w:i/>
          <w:sz w:val="20"/>
          <w:szCs w:val="20"/>
        </w:rPr>
        <w:t>et al.,</w:t>
      </w:r>
      <w:r>
        <w:rPr>
          <w:sz w:val="20"/>
          <w:szCs w:val="20"/>
        </w:rPr>
        <w:t xml:space="preserve"> 2011; Nazeeruddin</w:t>
      </w:r>
      <w:r>
        <w:rPr>
          <w:i/>
          <w:sz w:val="20"/>
          <w:szCs w:val="20"/>
        </w:rPr>
        <w:t>et al.,</w:t>
      </w:r>
      <w:r>
        <w:rPr>
          <w:sz w:val="20"/>
          <w:szCs w:val="20"/>
        </w:rPr>
        <w:t xml:space="preserve"> 2005), osmium (Wu </w:t>
      </w:r>
      <w:r>
        <w:rPr>
          <w:i/>
          <w:sz w:val="20"/>
          <w:szCs w:val="20"/>
        </w:rPr>
        <w:t>et al.,</w:t>
      </w:r>
      <w:r>
        <w:rPr>
          <w:sz w:val="20"/>
          <w:szCs w:val="20"/>
        </w:rPr>
        <w:t xml:space="preserve"> 2012; Juwita </w:t>
      </w:r>
      <w:r>
        <w:rPr>
          <w:i/>
          <w:sz w:val="20"/>
          <w:szCs w:val="20"/>
        </w:rPr>
        <w:t>et al.,</w:t>
      </w:r>
      <w:r>
        <w:rPr>
          <w:sz w:val="20"/>
          <w:szCs w:val="20"/>
        </w:rPr>
        <w:t xml:space="preserve"> 2020; Lazic </w:t>
      </w:r>
      <w:r>
        <w:rPr>
          <w:i/>
          <w:sz w:val="20"/>
          <w:szCs w:val="20"/>
        </w:rPr>
        <w:t>et al.,</w:t>
      </w:r>
      <w:r>
        <w:rPr>
          <w:sz w:val="20"/>
          <w:szCs w:val="20"/>
        </w:rPr>
        <w:t xml:space="preserve"> 2017), platinum (Zhang </w:t>
      </w:r>
      <w:r>
        <w:rPr>
          <w:i/>
          <w:sz w:val="20"/>
          <w:szCs w:val="20"/>
        </w:rPr>
        <w:t>et al.,</w:t>
      </w:r>
      <w:r>
        <w:rPr>
          <w:sz w:val="20"/>
          <w:szCs w:val="20"/>
        </w:rPr>
        <w:t xml:space="preserve"> 2007), Copper (Shahzad </w:t>
      </w:r>
      <w:r>
        <w:rPr>
          <w:i/>
          <w:sz w:val="20"/>
          <w:szCs w:val="20"/>
        </w:rPr>
        <w:t>et al.,</w:t>
      </w:r>
      <w:r>
        <w:rPr>
          <w:sz w:val="20"/>
          <w:szCs w:val="20"/>
        </w:rPr>
        <w:t xml:space="preserve"> 2015), iridium (Baranoff </w:t>
      </w:r>
      <w:r>
        <w:rPr>
          <w:i/>
          <w:sz w:val="20"/>
          <w:szCs w:val="20"/>
        </w:rPr>
        <w:t>et al.,</w:t>
      </w:r>
      <w:r>
        <w:rPr>
          <w:sz w:val="20"/>
          <w:szCs w:val="20"/>
        </w:rPr>
        <w:t xml:space="preserve"> 2010), iron, zinc etc. Metal-free (organic) sensitizers include indolines, coumarin, carbazole, phenothiazine (Devadiga </w:t>
      </w:r>
      <w:r>
        <w:rPr>
          <w:i/>
          <w:sz w:val="20"/>
          <w:szCs w:val="20"/>
        </w:rPr>
        <w:t>et al.,</w:t>
      </w:r>
      <w:r>
        <w:rPr>
          <w:sz w:val="20"/>
          <w:szCs w:val="20"/>
        </w:rPr>
        <w:t xml:space="preserve"> 2021), etc. Natural sensitizers are extracted from fruits, flowers, leaves, and other parts of plants (Ludin,</w:t>
      </w:r>
      <w:r>
        <w:rPr>
          <w:i/>
          <w:sz w:val="20"/>
          <w:szCs w:val="20"/>
        </w:rPr>
        <w:t>et al.,</w:t>
      </w:r>
      <w:r>
        <w:rPr>
          <w:sz w:val="20"/>
          <w:szCs w:val="20"/>
        </w:rPr>
        <w:t xml:space="preserve"> 2014). </w:t>
      </w:r>
    </w:p>
    <w:p w14:paraId="25A404BF">
      <w:pPr>
        <w:jc w:val="both"/>
        <w:rPr>
          <w:sz w:val="20"/>
          <w:szCs w:val="20"/>
        </w:rPr>
      </w:pPr>
      <w:r>
        <w:rPr>
          <w:sz w:val="20"/>
          <w:szCs w:val="20"/>
        </w:rPr>
        <w:t>Computational calculations are important because they reveal the electron density of the molecules which helps in knowing the electronic excitation behavior of the molecules. The electronic properties of dyes are related to their molecular structure. To have a good cell performance, an efficient intramolecular charge transfer is required. TD-DFT (Time-Dependent Density Functional Theory) is the first principle-based calculation technique used to know the electron excitation situation of the molecule upon the excitation process (Marques and Gross, 2004). Comparing the calculated absorption spectrum with the experimental absorption spectrum reveals that the computational study is accurate and helpful. Many types of research have been done based on different methods and routes to find better sensitizers for DSSC applications.</w:t>
      </w:r>
    </w:p>
    <w:p w14:paraId="2056CCEF">
      <w:pPr>
        <w:pStyle w:val="2"/>
        <w:spacing w:before="0"/>
        <w:jc w:val="both"/>
        <w:rPr>
          <w:rFonts w:ascii="Times New Roman" w:hAnsi="Times New Roman" w:cs="Times New Roman"/>
          <w:color w:val="auto"/>
          <w:sz w:val="20"/>
          <w:szCs w:val="20"/>
        </w:rPr>
      </w:pPr>
      <w:bookmarkStart w:id="42" w:name="_Toc177051995"/>
      <w:r>
        <w:rPr>
          <w:rFonts w:ascii="Times New Roman" w:hAnsi="Times New Roman" w:cs="Times New Roman"/>
          <w:color w:val="auto"/>
          <w:sz w:val="20"/>
          <w:szCs w:val="20"/>
        </w:rPr>
        <w:t>MOLECULAR ENGINEERING OF SENSITIZERS</w:t>
      </w:r>
      <w:bookmarkEnd w:id="42"/>
    </w:p>
    <w:p w14:paraId="3D00B37B">
      <w:pPr>
        <w:jc w:val="both"/>
        <w:rPr>
          <w:sz w:val="20"/>
          <w:szCs w:val="20"/>
        </w:rPr>
      </w:pPr>
      <w:r>
        <w:rPr>
          <w:sz w:val="20"/>
          <w:szCs w:val="20"/>
        </w:rPr>
        <w:t>In general, dye sensitizers used in various applications consist of three main components: an electron donor (D), a conjugated bridge (linker), and an electron acceptor (A). These components can be arranged in different frameworks, such as D-A, D-π-A, D-A-π-A, and so on. Based on their composition materials, dye sensitizers can be classified into two categories: metal complex dye sensitizers and metal-free organic dye sensitizers (Arkan et al., 2024).</w:t>
      </w:r>
    </w:p>
    <w:p w14:paraId="5EF25A89">
      <w:pPr>
        <w:jc w:val="both"/>
        <w:rPr>
          <w:sz w:val="20"/>
          <w:szCs w:val="20"/>
        </w:rPr>
      </w:pPr>
      <w:r>
        <w:rPr>
          <w:sz w:val="20"/>
          <w:szCs w:val="20"/>
        </w:rPr>
        <w:t>Improving the performance of dye-sensitized solar cells (DSSCs) poses a significant challenge due to the chemical complexity of the device. The various components of DSSCs interact with each other in intricate ways and play a crucial role in determining the final performance of the cells. As a result, achieving optimization for each component requires a lot of repetitive and tedious experimental work.</w:t>
      </w:r>
    </w:p>
    <w:p w14:paraId="56120449">
      <w:pPr>
        <w:jc w:val="both"/>
        <w:rPr>
          <w:b/>
          <w:sz w:val="20"/>
          <w:szCs w:val="20"/>
        </w:rPr>
      </w:pPr>
      <w:r>
        <w:rPr>
          <w:sz w:val="20"/>
          <w:szCs w:val="20"/>
        </w:rPr>
        <w:t xml:space="preserve">To address this challenge, the application of theoretical chemical calculations in the study of DSSCs holds great significance. These calculations enable a deeper understanding of the structure-activity relationship within the solar cells and the specific roles played by each component at the microscopic level (Zhao </w:t>
      </w:r>
      <w:r>
        <w:rPr>
          <w:i/>
          <w:sz w:val="20"/>
          <w:szCs w:val="20"/>
        </w:rPr>
        <w:t>et al.,</w:t>
      </w:r>
      <w:r>
        <w:rPr>
          <w:sz w:val="20"/>
          <w:szCs w:val="20"/>
        </w:rPr>
        <w:t xml:space="preserve"> 2024). Theoretical calculations not only facilitate systemic and efficient optimization of the components but also help save material and financial resources. By reducing the research costs associated with DSSCs, theoretical chemical calculations contribute to the further development of these solar cells (Martsinovich and Troisi, 2011).</w:t>
      </w:r>
    </w:p>
    <w:p w14:paraId="01109901">
      <w:pPr>
        <w:jc w:val="both"/>
        <w:rPr>
          <w:b/>
          <w:sz w:val="20"/>
          <w:szCs w:val="20"/>
        </w:rPr>
      </w:pPr>
    </w:p>
    <w:p w14:paraId="08FEDA63">
      <w:pPr>
        <w:jc w:val="both"/>
        <w:rPr>
          <w:b/>
          <w:sz w:val="20"/>
          <w:szCs w:val="20"/>
        </w:rPr>
      </w:pPr>
      <w:r>
        <w:rPr>
          <w:b/>
          <w:sz w:val="20"/>
          <w:szCs w:val="20"/>
        </w:rPr>
        <w:t>MATERIALS AND METHODS</w:t>
      </w:r>
    </w:p>
    <w:p w14:paraId="3CE41AAC">
      <w:pPr>
        <w:pStyle w:val="2"/>
        <w:spacing w:before="0"/>
        <w:jc w:val="both"/>
        <w:rPr>
          <w:rFonts w:ascii="Times New Roman" w:hAnsi="Times New Roman" w:cs="Times New Roman"/>
          <w:color w:val="auto"/>
          <w:sz w:val="20"/>
          <w:szCs w:val="20"/>
        </w:rPr>
      </w:pPr>
      <w:bookmarkStart w:id="43" w:name="_Toc177051996"/>
      <w:bookmarkStart w:id="44" w:name="_Toc377302211"/>
      <w:r>
        <w:rPr>
          <w:rFonts w:ascii="Times New Roman" w:hAnsi="Times New Roman" w:cs="Times New Roman"/>
          <w:color w:val="auto"/>
          <w:sz w:val="20"/>
          <w:szCs w:val="20"/>
        </w:rPr>
        <w:t>D-A Framework</w:t>
      </w:r>
      <w:bookmarkEnd w:id="43"/>
      <w:bookmarkEnd w:id="44"/>
    </w:p>
    <w:p w14:paraId="15E00E0E">
      <w:pPr>
        <w:jc w:val="both"/>
        <w:rPr>
          <w:sz w:val="20"/>
          <w:szCs w:val="20"/>
        </w:rPr>
      </w:pPr>
      <w:r>
        <w:rPr>
          <w:sz w:val="20"/>
          <w:szCs w:val="20"/>
        </w:rPr>
        <w:t xml:space="preserve">The D-A (Donor-Acceptor) framework in dye sensitizers is a simple structure consisting of only two components: a donor and an acceptor (Hachi </w:t>
      </w:r>
      <w:r>
        <w:rPr>
          <w:i/>
          <w:sz w:val="20"/>
          <w:szCs w:val="20"/>
        </w:rPr>
        <w:t>et al.,</w:t>
      </w:r>
      <w:r>
        <w:rPr>
          <w:sz w:val="20"/>
          <w:szCs w:val="20"/>
        </w:rPr>
        <w:t xml:space="preserve"> 2021). This framework does not include π-linkers, which are present in other more complex dye sensitizers. The absence of π- linkers has two significant advantages. Firstly, it reduces the length of the dye molecules, enabling quick electron transfer from the donor to the acceptor. Secondly, many π- linkers possess strong conjugation, which can lead to interactions between dye molecules when they aggregate on the semiconductor surface. These interactions can significantly impact the absorption of visible light, resulting in energy loss (Singh and Kanaparthi, 2022). Therefore, utilizing the D-A framework without π-linkers, dye sensitizers can achieve efficient electron transfer and minimize energy loss due to dye aggregation, making them promising candidates for enhancing the performance of solar cells.</w:t>
      </w:r>
    </w:p>
    <w:p w14:paraId="4F87F332">
      <w:pPr>
        <w:pStyle w:val="2"/>
        <w:spacing w:before="0"/>
        <w:jc w:val="both"/>
        <w:rPr>
          <w:rFonts w:ascii="Times New Roman" w:hAnsi="Times New Roman" w:cs="Times New Roman"/>
          <w:color w:val="auto"/>
          <w:sz w:val="20"/>
          <w:szCs w:val="20"/>
        </w:rPr>
      </w:pPr>
      <w:bookmarkStart w:id="45" w:name="_Toc177051997"/>
      <w:bookmarkStart w:id="46" w:name="_Toc377302212"/>
      <w:r>
        <w:rPr>
          <w:rFonts w:ascii="Times New Roman" w:hAnsi="Times New Roman" w:cs="Times New Roman"/>
          <w:color w:val="auto"/>
          <w:sz w:val="20"/>
          <w:szCs w:val="20"/>
        </w:rPr>
        <w:t>D -π-A Framework</w:t>
      </w:r>
      <w:bookmarkEnd w:id="45"/>
      <w:bookmarkEnd w:id="46"/>
    </w:p>
    <w:p w14:paraId="2D89A347">
      <w:pPr>
        <w:jc w:val="both"/>
        <w:rPr>
          <w:sz w:val="20"/>
          <w:szCs w:val="20"/>
        </w:rPr>
      </w:pPr>
      <w:r>
        <mc:AlternateContent>
          <mc:Choice Requires="wps">
            <w:drawing>
              <wp:anchor distT="0" distB="0" distL="114300" distR="114300" simplePos="0" relativeHeight="251674624" behindDoc="0" locked="0" layoutInCell="1" allowOverlap="1">
                <wp:simplePos x="0" y="0"/>
                <wp:positionH relativeFrom="column">
                  <wp:posOffset>2825750</wp:posOffset>
                </wp:positionH>
                <wp:positionV relativeFrom="paragraph">
                  <wp:posOffset>539115</wp:posOffset>
                </wp:positionV>
                <wp:extent cx="495300" cy="316230"/>
                <wp:effectExtent l="0" t="0" r="0" b="0"/>
                <wp:wrapNone/>
                <wp:docPr id="774111015"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C618C24">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2.5pt;margin-top:42.45pt;height:24.9pt;width:39pt;z-index:251674624;mso-width-relative:page;mso-height-relative:page;" filled="f" stroked="f" coordsize="21600,21600" o:gfxdata="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UTrmO2wAAAAoBAAAPAAAAAAAAAAEAIAAAACIAAABkcnMvZG93bnJldi54&#10;bWxQSwECFAAUAAAACACHTuJA9sBIhzACAABsBAAADgAAAAAAAAABACAAAAAqAQAAZHJzL2Uyb0Rv&#10;Yy54bWxQSwUGAAAAAAYABgBZAQAAzAUAAAAA&#10;">
                <v:fill on="f" focussize="0,0"/>
                <v:stroke on="f" weight="0.5pt"/>
                <v:imagedata o:title=""/>
                <o:lock v:ext="edit" aspectratio="f"/>
                <v:textbox>
                  <w:txbxContent>
                    <w:p w14:paraId="3C618C24">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274</w:t>
                      </w:r>
                    </w:p>
                  </w:txbxContent>
                </v:textbox>
              </v:shape>
            </w:pict>
          </mc:Fallback>
        </mc:AlternateContent>
      </w:r>
      <w:r>
        <w:rPr>
          <w:sz w:val="20"/>
          <w:szCs w:val="20"/>
        </w:rPr>
        <w:t xml:space="preserve">The D-π-A architecture, which consists of a donor, a conjugated π-linker, and an acceptor, is a promising strategy for designing dyes with excellent photoelectric conversion and electron transfer abilities. The conjugated π-linker plays a crucial role in facilitating the transfer of electrons from the donor to the acceptor (Chai </w:t>
      </w:r>
      <w:r>
        <w:rPr>
          <w:i/>
          <w:sz w:val="20"/>
          <w:szCs w:val="20"/>
        </w:rPr>
        <w:t>et al.,</w:t>
      </w:r>
      <w:r>
        <w:rPr>
          <w:sz w:val="20"/>
          <w:szCs w:val="20"/>
        </w:rPr>
        <w:t xml:space="preserve"> 2014). Researchers have been actively exploring and enhancing the structure of these three components to develop a wide range of D-π-A dye sensitizers.</w:t>
      </w:r>
    </w:p>
    <w:p w14:paraId="6D3D6167">
      <w:pPr>
        <w:jc w:val="both"/>
        <w:rPr>
          <w:sz w:val="20"/>
          <w:szCs w:val="20"/>
        </w:rPr>
        <w:sectPr>
          <w:type w:val="continuous"/>
          <w:pgSz w:w="12240" w:h="15840"/>
          <w:pgMar w:top="1440" w:right="1440" w:bottom="1440" w:left="1440" w:header="720" w:footer="720" w:gutter="0"/>
          <w:cols w:space="227" w:num="2"/>
          <w:docGrid w:linePitch="299" w:charSpace="0"/>
        </w:sectPr>
      </w:pPr>
    </w:p>
    <w:p w14:paraId="66CEACD8">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899150" cy="1929765"/>
            <wp:effectExtent l="0" t="0" r="0" b="0"/>
            <wp:docPr id="20" name="Picture 3"/>
            <wp:cNvGraphicFramePr/>
            <a:graphic xmlns:a="http://schemas.openxmlformats.org/drawingml/2006/main">
              <a:graphicData uri="http://schemas.openxmlformats.org/drawingml/2006/picture">
                <pic:pic xmlns:pic="http://schemas.openxmlformats.org/drawingml/2006/picture">
                  <pic:nvPicPr>
                    <pic:cNvPr id="20" name="Picture 3"/>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911763" cy="1934465"/>
                    </a:xfrm>
                    <a:prstGeom prst="rect">
                      <a:avLst/>
                    </a:prstGeom>
                    <a:noFill/>
                    <a:ln>
                      <a:noFill/>
                    </a:ln>
                    <a:effectLst/>
                  </pic:spPr>
                </pic:pic>
              </a:graphicData>
            </a:graphic>
          </wp:inline>
        </w:drawing>
      </w:r>
    </w:p>
    <w:p w14:paraId="144993AB">
      <w:pPr>
        <w:jc w:val="both"/>
        <w:rPr>
          <w:sz w:val="20"/>
          <w:szCs w:val="20"/>
        </w:rPr>
      </w:pPr>
    </w:p>
    <w:p w14:paraId="5C7AC390">
      <w:pPr>
        <w:ind w:left="720" w:firstLine="720"/>
        <w:jc w:val="both"/>
        <w:rPr>
          <w:b/>
          <w:sz w:val="20"/>
          <w:szCs w:val="20"/>
        </w:rPr>
        <w:sectPr>
          <w:type w:val="continuous"/>
          <w:pgSz w:w="12240" w:h="15840"/>
          <w:pgMar w:top="1440" w:right="1440" w:bottom="1440" w:left="1440" w:header="720" w:footer="720" w:gutter="0"/>
          <w:cols w:space="227" w:num="2"/>
          <w:docGrid w:linePitch="299" w:charSpace="0"/>
        </w:sectPr>
      </w:pPr>
    </w:p>
    <w:p w14:paraId="6CAD4B85">
      <w:pPr>
        <w:ind w:left="720" w:firstLine="720"/>
        <w:jc w:val="both"/>
        <w:rPr>
          <w:b/>
          <w:sz w:val="20"/>
          <w:szCs w:val="20"/>
        </w:rPr>
        <w:sectPr>
          <w:type w:val="continuous"/>
          <w:pgSz w:w="12240" w:h="15840"/>
          <w:pgMar w:top="1440" w:right="1440" w:bottom="1440" w:left="1440" w:header="720" w:footer="720" w:gutter="0"/>
          <w:cols w:space="227" w:num="1"/>
          <w:docGrid w:linePitch="299" w:charSpace="0"/>
        </w:sectPr>
      </w:pPr>
      <w:r>
        <w:rPr>
          <w:b/>
          <w:sz w:val="20"/>
          <w:szCs w:val="20"/>
        </w:rPr>
        <w:t>Fig. 3 Showing the donor, linker, and acceptor mode of operation</w:t>
      </w:r>
    </w:p>
    <w:p w14:paraId="13E6FA2E">
      <w:pPr>
        <w:jc w:val="both"/>
        <w:rPr>
          <w:sz w:val="20"/>
          <w:szCs w:val="20"/>
        </w:rPr>
      </w:pPr>
      <w:r>
        <w:rPr>
          <w:sz w:val="20"/>
          <w:szCs w:val="20"/>
        </w:rPr>
        <w:t xml:space="preserve">The linker in the dye sensitizers possesses favorable planar and conjugation properties, which facilitate efficient electron transfer. Additionally, the presence of a π- linker can enhance the excitation efficiency and prolong the lifetime of excited electrons to some extent. By modifying the length or dihedral angle of the π-linker, the photoelectric properties of the dye sensitizer can be improved, leading to changes in its optical properties (Prachumrak </w:t>
      </w:r>
      <w:r>
        <w:rPr>
          <w:i/>
          <w:sz w:val="20"/>
          <w:szCs w:val="20"/>
        </w:rPr>
        <w:t>et al.,</w:t>
      </w:r>
      <w:r>
        <w:rPr>
          <w:sz w:val="20"/>
          <w:szCs w:val="20"/>
        </w:rPr>
        <w:t xml:space="preserve"> 2017).</w:t>
      </w:r>
    </w:p>
    <w:p w14:paraId="1F18798D">
      <w:pPr>
        <w:spacing w:before="100" w:beforeAutospacing="1"/>
        <w:jc w:val="both"/>
        <w:rPr>
          <w:sz w:val="20"/>
          <w:szCs w:val="20"/>
        </w:rPr>
      </w:pPr>
      <w:r>
        <w:rPr>
          <w:sz w:val="20"/>
          <w:szCs w:val="20"/>
        </w:rPr>
        <w:t>This reviewis aim to address these challenges by investigating new materials to improve the efficiency and stability of dye-sensitized solar cells. The goal is to advance the development of DSSCs, making them a more competitive and practical option for renewable energy generation.</w:t>
      </w:r>
    </w:p>
    <w:p w14:paraId="0E67CC48">
      <w:pPr>
        <w:pStyle w:val="2"/>
        <w:spacing w:before="0"/>
        <w:jc w:val="both"/>
        <w:rPr>
          <w:rFonts w:ascii="Times New Roman" w:hAnsi="Times New Roman" w:cs="Times New Roman"/>
          <w:color w:val="auto"/>
          <w:sz w:val="20"/>
          <w:szCs w:val="20"/>
        </w:rPr>
      </w:pPr>
      <w:bookmarkStart w:id="47" w:name="_Toc177052002"/>
    </w:p>
    <w:p w14:paraId="08FBCA9A">
      <w:pPr>
        <w:pStyle w:val="2"/>
        <w:spacing w:before="0"/>
        <w:jc w:val="both"/>
        <w:rPr>
          <w:rFonts w:ascii="Times New Roman" w:hAnsi="Times New Roman" w:cs="Times New Roman"/>
          <w:color w:val="auto"/>
          <w:sz w:val="20"/>
          <w:szCs w:val="20"/>
        </w:rPr>
      </w:pPr>
      <w:r>
        <w:rPr>
          <w:rFonts w:ascii="Times New Roman" w:hAnsi="Times New Roman" w:cs="Times New Roman"/>
          <w:color w:val="auto"/>
          <w:sz w:val="20"/>
          <w:szCs w:val="20"/>
        </w:rPr>
        <w:t>METAL-BASED SENSITIZERS</w:t>
      </w:r>
      <w:bookmarkEnd w:id="47"/>
      <w:r>
        <w:rPr>
          <w:rFonts w:ascii="Times New Roman" w:hAnsi="Times New Roman" w:cs="Times New Roman"/>
          <w:color w:val="auto"/>
          <w:sz w:val="20"/>
          <w:szCs w:val="20"/>
        </w:rPr>
        <w:tab/>
      </w:r>
    </w:p>
    <w:p w14:paraId="3E982826">
      <w:pPr>
        <w:jc w:val="both"/>
        <w:rPr>
          <w:sz w:val="20"/>
          <w:szCs w:val="20"/>
        </w:rPr>
      </w:pPr>
      <w:r>
        <w:rPr>
          <w:sz w:val="20"/>
          <w:szCs w:val="20"/>
        </w:rPr>
        <w:t xml:space="preserve">Metal-based sensitizers contain anchoring ligands (ACLs) which are responsible for the union between the sensitizer with semiconductor and ancillary ligands (ALLs) which are responsible for tuning the properties of the sensitizers. Metal to ligand charge transfer (MLCT) state can be altered by modifying anchoring ligands or changing ancillary ligands or their substituents. It was reported that a lot of metal-based sensitizers were prepared by changing the ALLs (Shikoh, 2018; Polo </w:t>
      </w:r>
      <w:r>
        <w:rPr>
          <w:i/>
          <w:sz w:val="20"/>
          <w:szCs w:val="20"/>
        </w:rPr>
        <w:t>et al.,</w:t>
      </w:r>
      <w:r>
        <w:rPr>
          <w:sz w:val="20"/>
          <w:szCs w:val="20"/>
        </w:rPr>
        <w:t xml:space="preserve"> 2004).</w:t>
      </w:r>
    </w:p>
    <w:p w14:paraId="6E49081A">
      <w:pPr>
        <w:pStyle w:val="2"/>
        <w:spacing w:before="0"/>
        <w:jc w:val="both"/>
        <w:rPr>
          <w:rFonts w:ascii="Times New Roman" w:hAnsi="Times New Roman" w:cs="Times New Roman"/>
          <w:color w:val="auto"/>
          <w:sz w:val="20"/>
          <w:szCs w:val="20"/>
        </w:rPr>
      </w:pPr>
      <w:bookmarkStart w:id="48" w:name="_Toc177052003"/>
      <w:r>
        <w:rPr>
          <w:rFonts w:ascii="Times New Roman" w:hAnsi="Times New Roman" w:cs="Times New Roman"/>
          <w:color w:val="auto"/>
          <w:sz w:val="20"/>
          <w:szCs w:val="20"/>
        </w:rPr>
        <w:t>Ruthenium based Sensitizers</w:t>
      </w:r>
      <w:bookmarkEnd w:id="48"/>
    </w:p>
    <w:p w14:paraId="02C8C689">
      <w:pPr>
        <w:jc w:val="both"/>
        <w:rPr>
          <w:sz w:val="20"/>
          <w:szCs w:val="20"/>
        </w:rPr>
      </w:pPr>
      <w:r>
        <w:rPr>
          <w:sz w:val="20"/>
          <w:szCs w:val="20"/>
        </w:rPr>
        <w:t>Ruthenium-based metal sensitizers are the most investigated ones for DSSC application because they show better efficiency because of their good photovoltaic properties (Stability and broad absorption of spectra, etc) (Tomar</w:t>
      </w:r>
      <w:r>
        <w:rPr>
          <w:i/>
          <w:sz w:val="20"/>
          <w:szCs w:val="20"/>
        </w:rPr>
        <w:t>et al.,</w:t>
      </w:r>
      <w:r>
        <w:rPr>
          <w:sz w:val="20"/>
          <w:szCs w:val="20"/>
        </w:rPr>
        <w:t xml:space="preserve"> 2020).</w:t>
      </w:r>
    </w:p>
    <w:p w14:paraId="6B751743">
      <w:pPr>
        <w:jc w:val="both"/>
        <w:rPr>
          <w:sz w:val="20"/>
          <w:szCs w:val="20"/>
        </w:rPr>
      </w:pPr>
      <w:r>
        <w:rPr>
          <w:sz w:val="20"/>
          <w:szCs w:val="20"/>
        </w:rPr>
        <w:t>The sensitizers attached the TiO</w:t>
      </w:r>
      <w:r>
        <w:rPr>
          <w:sz w:val="20"/>
          <w:szCs w:val="20"/>
          <w:vertAlign w:val="subscript"/>
        </w:rPr>
        <w:t>2</w:t>
      </w:r>
      <w:r>
        <w:rPr>
          <w:sz w:val="20"/>
          <w:szCs w:val="20"/>
        </w:rPr>
        <w:t xml:space="preserve"> through the anchoring groups (carboxylate, phosphonate, or hydroxamate) (Zhang and Cole, 2015) Carboxylate and phosphonate groups are the ones responsible for the electron injection into the CB of semiconductors (She et al., 2007). Ruthenium polypyridyl complexes are obtained by the reaction between polypyridyl ligand with ruthenium trichloride (Cheung </w:t>
      </w:r>
      <w:r>
        <w:rPr>
          <w:i/>
          <w:sz w:val="20"/>
          <w:szCs w:val="20"/>
        </w:rPr>
        <w:t>et al.,</w:t>
      </w:r>
      <w:r>
        <w:rPr>
          <w:sz w:val="20"/>
          <w:szCs w:val="20"/>
        </w:rPr>
        <w:t xml:space="preserve"> 2012).  Many synthetic routes to obtain highly efficient sensitizers have been reported in many kinds of literature (Clifford </w:t>
      </w:r>
      <w:r>
        <w:rPr>
          <w:i/>
          <w:sz w:val="20"/>
          <w:szCs w:val="20"/>
        </w:rPr>
        <w:t>et al.,</w:t>
      </w:r>
      <w:r>
        <w:rPr>
          <w:sz w:val="20"/>
          <w:szCs w:val="20"/>
        </w:rPr>
        <w:t xml:space="preserve"> 2011).</w:t>
      </w:r>
    </w:p>
    <w:p w14:paraId="060A469A">
      <w:pPr>
        <w:jc w:val="both"/>
        <w:rPr>
          <w:sz w:val="20"/>
          <w:szCs w:val="20"/>
        </w:rPr>
      </w:pPr>
      <w:r>
        <w:rPr>
          <w:sz w:val="20"/>
          <w:szCs w:val="20"/>
        </w:rPr>
        <w:t>The most successful ruthenium-based sensitizer in DSSCs is Ruthenium (II) polypyridyl based sensitizer because both their ACLs and ALLs can be manipulated easily to obtain a product with better performance. Higher photovoltaic performance is achieved by tuning the ALLs which are either bipyridines or terpyridines with the heterocyclic unit or alky, aryl, etc (Reynal and Palomares, 2011). Polypyridyl ruthenium sensitizers can be either polynuclear bipyridyl ruthenium sensitizers, carboxylated polypyridyl ruthenium sensitizers, or phosphonate ruthenium sensitizers (Mede</w:t>
      </w:r>
      <w:r>
        <w:rPr>
          <w:i/>
          <w:sz w:val="20"/>
          <w:szCs w:val="20"/>
        </w:rPr>
        <w:t xml:space="preserve"> et al.,</w:t>
      </w:r>
      <w:r>
        <w:rPr>
          <w:sz w:val="20"/>
          <w:szCs w:val="20"/>
        </w:rPr>
        <w:t xml:space="preserve"> 2018). The carboxylated bipyridine that serves as the anchoring is responsible for linking the sensitizer to the semiconductor and facilitating electron injection (Stern </w:t>
      </w:r>
      <w:r>
        <w:rPr>
          <w:i/>
          <w:sz w:val="20"/>
          <w:szCs w:val="20"/>
        </w:rPr>
        <w:t>et al.,</w:t>
      </w:r>
      <w:r>
        <w:rPr>
          <w:sz w:val="20"/>
          <w:szCs w:val="20"/>
        </w:rPr>
        <w:t xml:space="preserve"> 2014). Carboxylated bipyridine ligands were used in developing the first ruthenium-based sensitizer in 1979 (He </w:t>
      </w:r>
      <w:r>
        <w:rPr>
          <w:i/>
          <w:sz w:val="20"/>
          <w:szCs w:val="20"/>
        </w:rPr>
        <w:t>et al.,</w:t>
      </w:r>
      <w:r>
        <w:rPr>
          <w:sz w:val="20"/>
          <w:szCs w:val="20"/>
        </w:rPr>
        <w:t xml:space="preserve"> 2015).  Scientists have synthesized and reported many ruthenium-based sensitizers to increase the efficiency and performance of DSSCs (Younes and Ghaddar, 2008). De Silvestro employed the same dye but with three carboxylated bipyridine ligands with the IPCE that was above 40% in 1985 (Giribabu </w:t>
      </w:r>
      <w:r>
        <w:rPr>
          <w:i/>
          <w:sz w:val="20"/>
          <w:szCs w:val="20"/>
        </w:rPr>
        <w:t>et al.,</w:t>
      </w:r>
      <w:r>
        <w:rPr>
          <w:sz w:val="20"/>
          <w:szCs w:val="20"/>
        </w:rPr>
        <w:t xml:space="preserve"> 2012).</w:t>
      </w:r>
    </w:p>
    <w:p w14:paraId="534343A8">
      <w:pPr>
        <w:jc w:val="both"/>
        <w:rPr>
          <w:sz w:val="20"/>
          <w:szCs w:val="20"/>
        </w:rPr>
      </w:pPr>
      <w:r>
        <mc:AlternateContent>
          <mc:Choice Requires="wps">
            <w:drawing>
              <wp:anchor distT="0" distB="0" distL="114300" distR="114300" simplePos="0" relativeHeight="251675648" behindDoc="0" locked="0" layoutInCell="1" allowOverlap="1">
                <wp:simplePos x="0" y="0"/>
                <wp:positionH relativeFrom="column">
                  <wp:posOffset>2851150</wp:posOffset>
                </wp:positionH>
                <wp:positionV relativeFrom="paragraph">
                  <wp:posOffset>965200</wp:posOffset>
                </wp:positionV>
                <wp:extent cx="495300" cy="316230"/>
                <wp:effectExtent l="0" t="0" r="0" b="0"/>
                <wp:wrapNone/>
                <wp:docPr id="99960868"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4903BE6">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5pt;margin-top:76pt;height:24.9pt;width:39pt;z-index:251675648;mso-width-relative:page;mso-height-relative:page;" filled="f" stroked="f" coordsize="21600,21600" o:gfxdata="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RCpCm2gAAAAsBAAAPAAAAAAAAAAEAIAAAACIAAABkcnMvZG93bnJldi54&#10;bWxQSwECFAAUAAAACACHTuJAI7f8zjECAABrBAAADgAAAAAAAAABACAAAAApAQAAZHJzL2Uyb0Rv&#10;Yy54bWxQSwUGAAAAAAYABgBZAQAAzAUAAAAA&#10;">
                <v:fill on="f" focussize="0,0"/>
                <v:stroke on="f" weight="0.5pt"/>
                <v:imagedata o:title=""/>
                <o:lock v:ext="edit" aspectratio="f"/>
                <v:textbox>
                  <w:txbxContent>
                    <w:p w14:paraId="04903BE6">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275</w:t>
                      </w:r>
                    </w:p>
                  </w:txbxContent>
                </v:textbox>
              </v:shape>
            </w:pict>
          </mc:Fallback>
        </mc:AlternateContent>
      </w:r>
      <w:r>
        <w:rPr>
          <w:sz w:val="20"/>
          <w:szCs w:val="20"/>
        </w:rPr>
        <w:t xml:space="preserve">Michael Gratzel employed a trinuclear Ru complex that raised the light absorption capability and obtained an efficiency of 7.1-7.9% in 1991 (Lau and Soroush, 2019). In 1993 Nazeeruddin reported a series of mononuclear Ruthenium complexes such as cis-(X)2 bis (2,2′-bipyridyl-4,4′-dicarboxylate) ruthenium(II) (Fig where X are Cl, Br, I, CN, and SCN. Among them, thiocyanate derivative, cis-(SCN)2 bis (2,2′-bipyridyl-4,4′-dicarboxylate) ruthenium(II), coded N3, was found to be outstanding with an efficiency of 10% and a wider absorption spectrum (due to the presence of NCS) (Nazeeruddin </w:t>
      </w:r>
      <w:r>
        <w:rPr>
          <w:i/>
          <w:sz w:val="20"/>
          <w:szCs w:val="20"/>
        </w:rPr>
        <w:t>et al.,</w:t>
      </w:r>
      <w:r>
        <w:rPr>
          <w:sz w:val="20"/>
          <w:szCs w:val="20"/>
        </w:rPr>
        <w:t xml:space="preserve"> 1993). Many researchers used different methods to change the ligands of Ruthenium complexes with the view of improving the photovoltaic performance of the photosensitizers. Extending the absorption spectrum of dyes near to IR region improves the efficiency of DSSCs.</w:t>
      </w:r>
    </w:p>
    <w:p w14:paraId="56876955">
      <w:pPr>
        <w:jc w:val="both"/>
        <w:rPr>
          <w:sz w:val="20"/>
          <w:szCs w:val="20"/>
        </w:rPr>
      </w:pPr>
      <w:r>
        <w:rPr>
          <w:sz w:val="20"/>
          <w:szCs w:val="20"/>
        </w:rPr>
        <w:t xml:space="preserve">Gratzel and coworkers in 2005 reported a black dye coded as N719 that is obtained by double deprotonation of N3 dye, it has an efficiency of 10.4% and a broader absorption spectrum extending to the near-infrared region. The ruthenium center consists of a single terpyridine ligand substituted with three thiocyanate ligands and carboxyl groups (Kong and Dai, 2022). This shows that the degree of protonation of sensitizers affects the properties of the semiconductor (Ronca, </w:t>
      </w:r>
      <w:r>
        <w:rPr>
          <w:i/>
          <w:sz w:val="20"/>
          <w:szCs w:val="20"/>
        </w:rPr>
        <w:t>et al.,</w:t>
      </w:r>
      <w:r>
        <w:rPr>
          <w:sz w:val="20"/>
          <w:szCs w:val="20"/>
        </w:rPr>
        <w:t xml:space="preserve"> 2014). </w:t>
      </w:r>
    </w:p>
    <w:p w14:paraId="23E0D1E6">
      <w:pPr>
        <w:jc w:val="both"/>
        <w:rPr>
          <w:sz w:val="20"/>
          <w:szCs w:val="20"/>
        </w:rPr>
      </w:pPr>
      <w:r>
        <w:rPr>
          <w:sz w:val="20"/>
          <w:szCs w:val="20"/>
        </w:rPr>
        <w:t xml:space="preserve">Another ruthenium-based series of sensitizers was reported to have tridentate terpyridine as anchoring ligands which shows an increase in Voc and recombination resistance (Tomar </w:t>
      </w:r>
      <w:r>
        <w:rPr>
          <w:i/>
          <w:sz w:val="20"/>
          <w:szCs w:val="20"/>
        </w:rPr>
        <w:t>et al.,</w:t>
      </w:r>
      <w:r>
        <w:rPr>
          <w:sz w:val="20"/>
          <w:szCs w:val="20"/>
        </w:rPr>
        <w:t xml:space="preserve"> 2020). The effect of replacing the alkyl chain with thioalkyl chains was reported to increase the efficiency of the cells (Moineau-Chane Ching, 2023). He </w:t>
      </w:r>
      <w:r>
        <w:rPr>
          <w:i/>
          <w:sz w:val="20"/>
          <w:szCs w:val="20"/>
        </w:rPr>
        <w:t>et al.,</w:t>
      </w:r>
      <w:r>
        <w:rPr>
          <w:sz w:val="20"/>
          <w:szCs w:val="20"/>
        </w:rPr>
        <w:t xml:space="preserve"> 2015  employed conjugated electron-rich compounds as π conjugated ancillary ligands in the polypyridyl ruthenium sensitizer and achieved an efficiency of 11%. They reported that the higher extinction coefficients of the sensitizer reduce recombination and increase the efficiency of charge collection (He </w:t>
      </w:r>
      <w:r>
        <w:rPr>
          <w:i/>
          <w:sz w:val="20"/>
          <w:szCs w:val="20"/>
        </w:rPr>
        <w:t>et al.,</w:t>
      </w:r>
      <w:r>
        <w:rPr>
          <w:sz w:val="20"/>
          <w:szCs w:val="20"/>
        </w:rPr>
        <w:t xml:space="preserve"> 2015).</w:t>
      </w:r>
    </w:p>
    <w:p w14:paraId="02E12D3D">
      <w:pPr>
        <w:jc w:val="both"/>
        <w:rPr>
          <w:sz w:val="20"/>
          <w:szCs w:val="20"/>
        </w:rPr>
      </w:pPr>
      <w:r>
        <w:rPr>
          <w:sz w:val="20"/>
          <w:szCs w:val="20"/>
        </w:rPr>
        <w:t xml:space="preserve">Wu et al (2013) also reported a series of thiocyanate-free Ruthenium sensitizers having bidentate and tridentate ligands with a conversion efficiency of 9.04% and broader absorption near the IR region (880nm). The results obtained show the effect of recombination resistance within the cell that is explained by the VOC behavior (Wu </w:t>
      </w:r>
      <w:r>
        <w:rPr>
          <w:i/>
          <w:sz w:val="20"/>
          <w:szCs w:val="20"/>
        </w:rPr>
        <w:t>et al.,</w:t>
      </w:r>
      <w:r>
        <w:rPr>
          <w:sz w:val="20"/>
          <w:szCs w:val="20"/>
        </w:rPr>
        <w:t xml:space="preserve"> 2013).</w:t>
      </w:r>
    </w:p>
    <w:p w14:paraId="139137FB">
      <w:pPr>
        <w:jc w:val="both"/>
        <w:rPr>
          <w:sz w:val="20"/>
          <w:szCs w:val="20"/>
        </w:rPr>
      </w:pPr>
      <w:r>
        <w:rPr>
          <w:sz w:val="20"/>
          <w:szCs w:val="20"/>
        </w:rPr>
        <w:t xml:space="preserve">Wang </w:t>
      </w:r>
      <w:r>
        <w:rPr>
          <w:i/>
          <w:sz w:val="20"/>
          <w:szCs w:val="20"/>
        </w:rPr>
        <w:t>et al.,</w:t>
      </w:r>
      <w:r>
        <w:rPr>
          <w:sz w:val="20"/>
          <w:szCs w:val="20"/>
        </w:rPr>
        <w:t xml:space="preserve"> (2012) reported that intense dye loading increases the absorption spectra which results in higher efficiency. The series of sensitizers reported having a tridentate anchoring group with two ligands (pyrazolyl- pyridine) (Wang </w:t>
      </w:r>
      <w:r>
        <w:rPr>
          <w:i/>
          <w:sz w:val="20"/>
          <w:szCs w:val="20"/>
        </w:rPr>
        <w:t>et al.,</w:t>
      </w:r>
      <w:r>
        <w:rPr>
          <w:sz w:val="20"/>
          <w:szCs w:val="20"/>
        </w:rPr>
        <w:t xml:space="preserve"> 2012). It's important to note that molecular engineering of Ru-based sensitizers such as; modification of anchoring and ancillary ligands, and structural modification to raise the absorption towards the near IR region, increases the efficiency of the cell. Zalas reported that employing an anchoring group at the para position increases the efficiency by two times and four times than that obtained by meta and ortho positions respectively (Zalas</w:t>
      </w:r>
      <w:r>
        <w:rPr>
          <w:i/>
          <w:sz w:val="20"/>
          <w:szCs w:val="20"/>
        </w:rPr>
        <w:t>et al.,</w:t>
      </w:r>
      <w:r>
        <w:rPr>
          <w:sz w:val="20"/>
          <w:szCs w:val="20"/>
        </w:rPr>
        <w:t xml:space="preserve"> 2014). Scientists have employed many strategies with the view of enhancing the molar extinction coefficients and improving the absorption capabilities to the near IR region (Qian </w:t>
      </w:r>
      <w:r>
        <w:rPr>
          <w:i/>
          <w:sz w:val="20"/>
          <w:szCs w:val="20"/>
        </w:rPr>
        <w:t>et al.,</w:t>
      </w:r>
      <w:r>
        <w:rPr>
          <w:sz w:val="20"/>
          <w:szCs w:val="20"/>
        </w:rPr>
        <w:t xml:space="preserve"> 2010). Novel ruthenium multi-carboxylic-based sensitizers (RMCCs) were also reported to have an IPCE of 15% at 510nm with higher absorption coefficients (Shahroosvand </w:t>
      </w:r>
      <w:r>
        <w:rPr>
          <w:i/>
          <w:sz w:val="20"/>
          <w:szCs w:val="20"/>
        </w:rPr>
        <w:t>et al.,</w:t>
      </w:r>
      <w:r>
        <w:rPr>
          <w:sz w:val="20"/>
          <w:szCs w:val="20"/>
        </w:rPr>
        <w:t xml:space="preserve"> 2014).  Ruthenium-based sensitizer denoted as S8 was reported to have an efficiency of 5.36% and a higher absorption coefficient. They reported that the higher efficiency obtained was a result of an increase in the electron injection between the cells (Qin and Peng, 2012).</w:t>
      </w:r>
    </w:p>
    <w:p w14:paraId="451D6237">
      <w:pPr>
        <w:jc w:val="both"/>
        <w:rPr>
          <w:sz w:val="20"/>
          <w:szCs w:val="20"/>
        </w:rPr>
      </w:pPr>
      <w:r>
        <w:rPr>
          <w:sz w:val="20"/>
          <w:szCs w:val="20"/>
        </w:rPr>
        <w:t xml:space="preserve">Adeloye </w:t>
      </w:r>
      <w:r>
        <w:rPr>
          <w:i/>
          <w:sz w:val="20"/>
          <w:szCs w:val="20"/>
        </w:rPr>
        <w:t>et al.,</w:t>
      </w:r>
      <w:r>
        <w:rPr>
          <w:sz w:val="20"/>
          <w:szCs w:val="20"/>
        </w:rPr>
        <w:t xml:space="preserve"> (2014) reported ruthenium-based sensitizers employing anthracene moieties and compared their photophysical properties with an analog complex that does not contain the anthracene. The results show that the ruthenium-based sensitizers have higher and broader molar absorption coefficients (Adeloye and Ajibade, 2014). Effects of ligand structure were investigated by Funaki </w:t>
      </w:r>
      <w:r>
        <w:rPr>
          <w:i/>
          <w:sz w:val="20"/>
          <w:szCs w:val="20"/>
        </w:rPr>
        <w:t>et al.,</w:t>
      </w:r>
      <w:r>
        <w:rPr>
          <w:sz w:val="20"/>
          <w:szCs w:val="20"/>
        </w:rPr>
        <w:t xml:space="preserve"> (2014) by synthesizing three different ruthenium-based sensitizers named FT22, FT23, and FT61. Among them FT61 has the highest efficiency of 5.53% and exhibited an IPCE of 25% at 900nm followed by FT22 with an efficiency of 3.81%, FT23 has the lowest efficiency among them with 3.43% (Funaki </w:t>
      </w:r>
      <w:r>
        <w:rPr>
          <w:i/>
          <w:sz w:val="20"/>
          <w:szCs w:val="20"/>
        </w:rPr>
        <w:t>et al.,</w:t>
      </w:r>
      <w:r>
        <w:rPr>
          <w:sz w:val="20"/>
          <w:szCs w:val="20"/>
        </w:rPr>
        <w:t xml:space="preserve"> 2014).</w:t>
      </w:r>
    </w:p>
    <w:p w14:paraId="134DB425">
      <w:pPr>
        <w:jc w:val="both"/>
        <w:rPr>
          <w:sz w:val="20"/>
          <w:szCs w:val="20"/>
        </w:rPr>
      </w:pPr>
      <w:r>
        <w:rPr>
          <w:sz w:val="20"/>
          <w:szCs w:val="20"/>
        </w:rPr>
        <w:t xml:space="preserve">Another series of novel ruthenium sensitizers were synthesized and reported by McCall et al incorporating Sulphur- donor bidentate ligands. Their photovoltaic and computational properties were also studied (McCall </w:t>
      </w:r>
      <w:r>
        <w:rPr>
          <w:i/>
          <w:sz w:val="20"/>
          <w:szCs w:val="20"/>
        </w:rPr>
        <w:t>et al.,</w:t>
      </w:r>
      <w:r>
        <w:rPr>
          <w:sz w:val="20"/>
          <w:szCs w:val="20"/>
        </w:rPr>
        <w:t xml:space="preserve"> 2009). A series of five novel ruthenium-based sensitizers having a dianionic tridentate ligand was synthesized, compared their photovoltaic properties with that of black dye, and reported that at a lower wavelength below 600nm, they have larger molar absorption coefficients (Pashaei </w:t>
      </w:r>
      <w:r>
        <w:rPr>
          <w:i/>
          <w:sz w:val="20"/>
          <w:szCs w:val="20"/>
        </w:rPr>
        <w:t>et al.,</w:t>
      </w:r>
      <w:r>
        <w:rPr>
          <w:sz w:val="20"/>
          <w:szCs w:val="20"/>
        </w:rPr>
        <w:t xml:space="preserve"> 2016). Another ruthenium-based sensitizer denoted as A597 having thiocyanate co-ligands, 4,4′-dioctylamido- 2,2′-bipyridine ligand, and 4,4′-carboxy- 2,2′-bipyridine as an anchoring ligand was reported with an efficiency of 7.25% (Qin and Peng 2012). Desorption was noticed from carboxylate polypyridyl ruthenium sensitizers in an aqueous solution when the pH was below 5 (Bae </w:t>
      </w:r>
      <w:r>
        <w:rPr>
          <w:i/>
          <w:sz w:val="20"/>
          <w:szCs w:val="20"/>
        </w:rPr>
        <w:t>et al.,</w:t>
      </w:r>
      <w:r>
        <w:rPr>
          <w:sz w:val="20"/>
          <w:szCs w:val="20"/>
        </w:rPr>
        <w:t xml:space="preserve"> 2004).</w:t>
      </w:r>
    </w:p>
    <w:p w14:paraId="2704B2F4">
      <w:pPr>
        <w:jc w:val="both"/>
        <w:rPr>
          <w:sz w:val="20"/>
          <w:szCs w:val="20"/>
        </w:rPr>
      </w:pPr>
      <w:r>
        <w:rPr>
          <w:sz w:val="20"/>
          <w:szCs w:val="20"/>
        </w:rPr>
        <w:t xml:space="preserve">The phosphonate group of the phosphonate polyypyridyl ruthenium sensitizers which serve as the anchoring ligand is resistant to desorption from the semiconductor even at higher pH. The property affects the electron injection (Raber </w:t>
      </w:r>
      <w:r>
        <w:rPr>
          <w:i/>
          <w:sz w:val="20"/>
          <w:szCs w:val="20"/>
        </w:rPr>
        <w:t>et al.,</w:t>
      </w:r>
      <w:r>
        <w:rPr>
          <w:sz w:val="20"/>
          <w:szCs w:val="20"/>
        </w:rPr>
        <w:t xml:space="preserve"> 2018).  </w:t>
      </w:r>
    </w:p>
    <w:p w14:paraId="7A52075D">
      <w:pPr>
        <w:jc w:val="both"/>
        <w:rPr>
          <w:sz w:val="20"/>
          <w:szCs w:val="20"/>
        </w:rPr>
      </w:pPr>
      <w:r>
        <w:rPr>
          <w:sz w:val="20"/>
          <w:szCs w:val="20"/>
        </w:rPr>
        <w:t>The first reported phosphonate polypyridyl ruthenium sensitizer (complex 1) with a Langmuir adsorption coefficient that is 80 times higher than that of N3 dye and a poor lifetime at an excited state. Its analogs Z907 and N621 possess an efficiency of 7.3% to 9.6% respectively with extraordinary stability of over 1000hrs under illumination (Sekar and Gehlot, 2010).</w:t>
      </w:r>
    </w:p>
    <w:p w14:paraId="37F17AFD">
      <w:pPr>
        <w:jc w:val="both"/>
        <w:rPr>
          <w:sz w:val="20"/>
          <w:szCs w:val="20"/>
        </w:rPr>
      </w:pPr>
      <w:r>
        <mc:AlternateContent>
          <mc:Choice Requires="wps">
            <w:drawing>
              <wp:anchor distT="0" distB="0" distL="114300" distR="114300" simplePos="0" relativeHeight="251676672" behindDoc="0" locked="0" layoutInCell="1" allowOverlap="1">
                <wp:simplePos x="0" y="0"/>
                <wp:positionH relativeFrom="column">
                  <wp:posOffset>2832100</wp:posOffset>
                </wp:positionH>
                <wp:positionV relativeFrom="paragraph">
                  <wp:posOffset>837565</wp:posOffset>
                </wp:positionV>
                <wp:extent cx="495300" cy="316230"/>
                <wp:effectExtent l="0" t="0" r="0" b="0"/>
                <wp:wrapNone/>
                <wp:docPr id="1949594214"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B0C142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pt;margin-top:65.95pt;height:24.9pt;width:39pt;z-index:251676672;mso-width-relative:page;mso-height-relative:page;" filled="f" stroked="f" coordsize="21600,21600" o:gfxdata="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LdACdsAAAALAQAADwAAAAAAAAABACAAAAAiAAAAZHJzL2Rvd25yZXYu&#10;eG1sUEsBAhQAFAAAAAgAh07iQOEBBv4xAgAAbQQAAA4AAAAAAAAAAQAgAAAAKgEAAGRycy9lMm9E&#10;b2MueG1sUEsFBgAAAAAGAAYAWQEAAM0FAAAAAA==&#10;">
                <v:fill on="f" focussize="0,0"/>
                <v:stroke on="f" weight="0.5pt"/>
                <v:imagedata o:title=""/>
                <o:lock v:ext="edit" aspectratio="f"/>
                <v:textbox>
                  <w:txbxContent>
                    <w:p w14:paraId="0B0C142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276</w:t>
                      </w:r>
                    </w:p>
                  </w:txbxContent>
                </v:textbox>
              </v:shape>
            </w:pict>
          </mc:Fallback>
        </mc:AlternateContent>
      </w:r>
      <w:r>
        <w:rPr>
          <w:sz w:val="20"/>
          <w:szCs w:val="20"/>
        </w:rPr>
        <w:t>Polynuclear complexes were employed to raise the absorption coefficient because of their bulky structure. Increasing the absorption coefficient in solution does not increase the light absorption property on DSSCs because there is low penetration of the bulky polynuclear ruthenium sensitizer on TiO</w:t>
      </w:r>
      <w:r>
        <w:rPr>
          <w:sz w:val="20"/>
          <w:szCs w:val="20"/>
          <w:vertAlign w:val="subscript"/>
        </w:rPr>
        <w:t>2</w:t>
      </w:r>
      <w:r>
        <w:rPr>
          <w:sz w:val="20"/>
          <w:szCs w:val="20"/>
        </w:rPr>
        <w:t xml:space="preserve"> compared to mononuclear complexes (Shalini </w:t>
      </w:r>
      <w:r>
        <w:rPr>
          <w:i/>
          <w:sz w:val="20"/>
          <w:szCs w:val="20"/>
        </w:rPr>
        <w:t>et al.,</w:t>
      </w:r>
      <w:r>
        <w:rPr>
          <w:sz w:val="20"/>
          <w:szCs w:val="20"/>
        </w:rPr>
        <w:t xml:space="preserve"> 2016).  The absorption spectrum of some dyes does not match with the solar emission spectrum which leads to the employment of the co-sensitization process (Ananthakumar </w:t>
      </w:r>
      <w:r>
        <w:rPr>
          <w:i/>
          <w:sz w:val="20"/>
          <w:szCs w:val="20"/>
        </w:rPr>
        <w:t>et al.,</w:t>
      </w:r>
      <w:r>
        <w:rPr>
          <w:sz w:val="20"/>
          <w:szCs w:val="20"/>
        </w:rPr>
        <w:t xml:space="preserve"> 2019).  Co-sensitization of several dyes with ruthenium polypyridyl complexes improved the power conversion efficiency to 13% compared to those sensitized with a single dye. The photovoltaic performance and spectral response were improved by co-sensitizing a squarine dye and polypyridyl ruthenium dye (Chang </w:t>
      </w:r>
      <w:r>
        <w:rPr>
          <w:i/>
          <w:sz w:val="20"/>
          <w:szCs w:val="20"/>
        </w:rPr>
        <w:t>et al.,</w:t>
      </w:r>
      <w:r>
        <w:rPr>
          <w:sz w:val="20"/>
          <w:szCs w:val="20"/>
        </w:rPr>
        <w:t xml:space="preserve"> 2013).</w:t>
      </w:r>
    </w:p>
    <w:p w14:paraId="46080DA8">
      <w:pPr>
        <w:jc w:val="both"/>
        <w:rPr>
          <w:sz w:val="20"/>
          <w:szCs w:val="20"/>
        </w:rPr>
      </w:pPr>
      <w:r>
        <w:rPr>
          <w:sz w:val="20"/>
          <w:szCs w:val="20"/>
        </w:rPr>
        <w:t xml:space="preserve">Many attempts were made by scientists to replace ruthenium metal with different metals like Copper (Cu), Iron (Fe) Osmium (Os), Platinum (Pt), Rhenium (Re), etc (Mahadik </w:t>
      </w:r>
      <w:r>
        <w:rPr>
          <w:i/>
          <w:sz w:val="20"/>
          <w:szCs w:val="20"/>
        </w:rPr>
        <w:t>et al.,</w:t>
      </w:r>
      <w:r>
        <w:rPr>
          <w:sz w:val="20"/>
          <w:szCs w:val="20"/>
        </w:rPr>
        <w:t xml:space="preserve"> 2024).  Copper-based sensitizers were synthesized and reported to be effective on DSSCs with a higher IPCE compared to N719 dye (Dragonetti </w:t>
      </w:r>
      <w:r>
        <w:rPr>
          <w:i/>
          <w:sz w:val="20"/>
          <w:szCs w:val="20"/>
        </w:rPr>
        <w:t>et al.,</w:t>
      </w:r>
      <w:r>
        <w:rPr>
          <w:sz w:val="20"/>
          <w:szCs w:val="20"/>
        </w:rPr>
        <w:t xml:space="preserve"> 2019). Two Platinum-based sensitizers were also reported with an efficiency of 2.6% and 2.33% and a broad absorption spectrum (Yahya </w:t>
      </w:r>
      <w:r>
        <w:rPr>
          <w:i/>
          <w:sz w:val="20"/>
          <w:szCs w:val="20"/>
        </w:rPr>
        <w:t>et al.,</w:t>
      </w:r>
      <w:r>
        <w:rPr>
          <w:sz w:val="20"/>
          <w:szCs w:val="20"/>
        </w:rPr>
        <w:t xml:space="preserve"> 2021). Osmium-based sensitizer was reported to have photochemical stability that is higher than that of ruthenium-based sensitizer (black dye) and an IPCE that is 50% lower than it (Onicha, 2010). A series of rhenium-based sensitizers were reported to have efficiencies of 1.72%, 1.46%, and 1.43% with a red-shifted absorption (Chawla and Tripathi, 2015). Iron-based sensitizers with a very low efficiency of 0.29% and 0.24% were reported but their photodegradation stability is high (Canivet and Wisser, 2023). Ruthenium is a heavy metal that is costly, harmful to the environment in higher quantities and degrades in water or moisture. A broader absorption spectrum of ruthenium-based sensitizers is leading to higher efficiencies (Yahya </w:t>
      </w:r>
      <w:r>
        <w:rPr>
          <w:i/>
          <w:sz w:val="20"/>
          <w:szCs w:val="20"/>
        </w:rPr>
        <w:t>et al.,</w:t>
      </w:r>
      <w:r>
        <w:rPr>
          <w:sz w:val="20"/>
          <w:szCs w:val="20"/>
        </w:rPr>
        <w:t xml:space="preserve"> 2021).</w:t>
      </w:r>
    </w:p>
    <w:p w14:paraId="3E00C664">
      <w:pPr>
        <w:pStyle w:val="2"/>
        <w:spacing w:before="0"/>
        <w:jc w:val="both"/>
        <w:rPr>
          <w:rFonts w:ascii="Times New Roman" w:hAnsi="Times New Roman" w:cs="Times New Roman"/>
          <w:color w:val="auto"/>
          <w:sz w:val="20"/>
          <w:szCs w:val="20"/>
        </w:rPr>
      </w:pPr>
      <w:bookmarkStart w:id="49" w:name="_Toc177052004"/>
      <w:r>
        <w:rPr>
          <w:rFonts w:ascii="Times New Roman" w:hAnsi="Times New Roman" w:cs="Times New Roman"/>
          <w:color w:val="auto"/>
          <w:sz w:val="20"/>
          <w:szCs w:val="20"/>
        </w:rPr>
        <w:t>2.2 METAL-FREE (ORGANIC) BASED SENSITIZERS</w:t>
      </w:r>
      <w:bookmarkEnd w:id="49"/>
    </w:p>
    <w:p w14:paraId="3EC7B46F">
      <w:pPr>
        <w:jc w:val="both"/>
        <w:rPr>
          <w:sz w:val="20"/>
          <w:szCs w:val="20"/>
        </w:rPr>
      </w:pPr>
      <w:r>
        <w:rPr>
          <w:sz w:val="20"/>
          <w:szCs w:val="20"/>
        </w:rPr>
        <w:t xml:space="preserve">The introduction of metal-free sensitizers for DSSC application improves the photovoltaic properties of the cell and also replaces the expensive ruthenium metal (Rahman </w:t>
      </w:r>
      <w:r>
        <w:rPr>
          <w:i/>
          <w:sz w:val="20"/>
          <w:szCs w:val="20"/>
        </w:rPr>
        <w:t>et al.,</w:t>
      </w:r>
      <w:r>
        <w:rPr>
          <w:sz w:val="20"/>
          <w:szCs w:val="20"/>
        </w:rPr>
        <w:t xml:space="preserve"> 2023).  Metal-free sensitizers are not harmful to the environment with an absorption coefficient that is much higher than that of ruthenium-based sensitizers which minimizes the loss of electrons at the interface of the sensitizer and semiconductor (Ahmad </w:t>
      </w:r>
      <w:r>
        <w:rPr>
          <w:i/>
          <w:sz w:val="20"/>
          <w:szCs w:val="20"/>
        </w:rPr>
        <w:t>et al.,</w:t>
      </w:r>
      <w:r>
        <w:rPr>
          <w:sz w:val="20"/>
          <w:szCs w:val="20"/>
        </w:rPr>
        <w:t xml:space="preserve"> 2013). The photovoltaic properties of these sensitizers can be tuned by changing substituents in their molecular structure.</w:t>
      </w:r>
    </w:p>
    <w:p w14:paraId="0E61D274">
      <w:pPr>
        <w:jc w:val="both"/>
        <w:rPr>
          <w:sz w:val="20"/>
          <w:szCs w:val="20"/>
        </w:rPr>
      </w:pPr>
      <w:r>
        <w:rPr>
          <w:sz w:val="20"/>
          <w:szCs w:val="20"/>
        </w:rPr>
        <w:t xml:space="preserve">The efficiency of metal-free sensitizers is influenced by the nature of the electrolytes used in the cell. i.e. the efficiency obtained when liquid electrolytes were used in metal-free based DSSCs is higher than the efficiencies obtained when ionic and solid-state electrolytes were employed as reported by many kinds of literature (Carella </w:t>
      </w:r>
      <w:r>
        <w:rPr>
          <w:i/>
          <w:sz w:val="20"/>
          <w:szCs w:val="20"/>
        </w:rPr>
        <w:t>et al.,</w:t>
      </w:r>
      <w:r>
        <w:rPr>
          <w:sz w:val="20"/>
          <w:szCs w:val="20"/>
        </w:rPr>
        <w:t xml:space="preserve"> 2018).</w:t>
      </w:r>
    </w:p>
    <w:p w14:paraId="59D37498">
      <w:pPr>
        <w:jc w:val="both"/>
        <w:rPr>
          <w:sz w:val="20"/>
          <w:szCs w:val="20"/>
        </w:rPr>
      </w:pPr>
      <w:r>
        <w:rPr>
          <w:sz w:val="20"/>
          <w:szCs w:val="20"/>
        </w:rPr>
        <w:t xml:space="preserve">Many design strategies were employed by many researchers in the synthesis of sensitizers such as D-A, D </w:t>
      </w:r>
      <w:r>
        <w:rPr>
          <w:rFonts w:ascii="Cambria Math" w:hAnsi="Cambria Math" w:cs="Cambria Math"/>
          <w:sz w:val="20"/>
          <w:szCs w:val="20"/>
        </w:rPr>
        <w:t>𝜋</w:t>
      </w:r>
      <w:r>
        <w:rPr>
          <w:sz w:val="20"/>
          <w:szCs w:val="20"/>
        </w:rPr>
        <w:t xml:space="preserve">  Acceptor, D - A - </w:t>
      </w:r>
      <w:r>
        <w:rPr>
          <w:rFonts w:ascii="Cambria Math" w:hAnsi="Cambria Math" w:cs="Cambria Math"/>
          <w:sz w:val="20"/>
          <w:szCs w:val="20"/>
        </w:rPr>
        <w:t>𝜋</w:t>
      </w:r>
      <w:r>
        <w:rPr>
          <w:sz w:val="20"/>
          <w:szCs w:val="20"/>
        </w:rPr>
        <w:t>- A, D - D - A  -A, etc. The skeleton consists of an electron donor group which should be rich in electrons, examples of such groups are coumarin, indoline, phenylamine, triphenylamine, etc. The conjugated linker (</w:t>
      </w:r>
      <w:r>
        <w:rPr>
          <w:rFonts w:ascii="Cambria Math" w:hAnsi="Cambria Math" w:cs="Cambria Math"/>
          <w:sz w:val="20"/>
          <w:szCs w:val="20"/>
        </w:rPr>
        <w:t>𝜋</w:t>
      </w:r>
      <w:r>
        <w:rPr>
          <w:sz w:val="20"/>
          <w:szCs w:val="20"/>
        </w:rPr>
        <w:t>) is responsible for connecting the donor moiety with the acceptor moiety; it should be either thiophene, benzene, furan, pyrrole, etc. The acceptor group should be either acrylic acid group, phosphonate group, hydroxamate, etc.</w:t>
      </w:r>
    </w:p>
    <w:p w14:paraId="202CDDDC">
      <w:pPr>
        <w:jc w:val="both"/>
        <w:rPr>
          <w:sz w:val="20"/>
          <w:szCs w:val="20"/>
        </w:rPr>
      </w:pPr>
      <w:r>
        <w:rPr>
          <w:sz w:val="20"/>
          <w:szCs w:val="20"/>
        </w:rPr>
        <w:t xml:space="preserve">Many organic dyes based on Indoline (Li </w:t>
      </w:r>
      <w:r>
        <w:rPr>
          <w:i/>
          <w:sz w:val="20"/>
          <w:szCs w:val="20"/>
        </w:rPr>
        <w:t>et al.,</w:t>
      </w:r>
      <w:r>
        <w:rPr>
          <w:sz w:val="20"/>
          <w:szCs w:val="20"/>
        </w:rPr>
        <w:t xml:space="preserve"> 2017; Roy </w:t>
      </w:r>
      <w:r>
        <w:rPr>
          <w:i/>
          <w:sz w:val="20"/>
          <w:szCs w:val="20"/>
        </w:rPr>
        <w:t>et al.,</w:t>
      </w:r>
      <w:r>
        <w:rPr>
          <w:sz w:val="20"/>
          <w:szCs w:val="20"/>
        </w:rPr>
        <w:t xml:space="preserve"> 2019), Coumarin (Kumbar </w:t>
      </w:r>
      <w:r>
        <w:rPr>
          <w:i/>
          <w:sz w:val="20"/>
          <w:szCs w:val="20"/>
        </w:rPr>
        <w:t>et al.,</w:t>
      </w:r>
      <w:r>
        <w:rPr>
          <w:sz w:val="20"/>
          <w:szCs w:val="20"/>
        </w:rPr>
        <w:t xml:space="preserve"> 2018; Sanap </w:t>
      </w:r>
      <w:r>
        <w:rPr>
          <w:i/>
          <w:sz w:val="20"/>
          <w:szCs w:val="20"/>
        </w:rPr>
        <w:t>et al.,</w:t>
      </w:r>
      <w:r>
        <w:rPr>
          <w:sz w:val="20"/>
          <w:szCs w:val="20"/>
        </w:rPr>
        <w:t xml:space="preserve"> 2015), Benzothiophene (Hassan and Li, 2024; Ndaleh </w:t>
      </w:r>
      <w:r>
        <w:rPr>
          <w:i/>
          <w:sz w:val="20"/>
          <w:szCs w:val="20"/>
        </w:rPr>
        <w:t>et al.,</w:t>
      </w:r>
      <w:r>
        <w:rPr>
          <w:sz w:val="20"/>
          <w:szCs w:val="20"/>
        </w:rPr>
        <w:t xml:space="preserve"> 2023),  Hemicyanine (Shabir </w:t>
      </w:r>
      <w:r>
        <w:rPr>
          <w:i/>
          <w:sz w:val="20"/>
          <w:szCs w:val="20"/>
        </w:rPr>
        <w:t>et al.,</w:t>
      </w:r>
      <w:r>
        <w:rPr>
          <w:sz w:val="20"/>
          <w:szCs w:val="20"/>
        </w:rPr>
        <w:t xml:space="preserve"> 2022; Park </w:t>
      </w:r>
      <w:r>
        <w:rPr>
          <w:i/>
          <w:sz w:val="20"/>
          <w:szCs w:val="20"/>
        </w:rPr>
        <w:t>et al.,</w:t>
      </w:r>
      <w:r>
        <w:rPr>
          <w:sz w:val="20"/>
          <w:szCs w:val="20"/>
        </w:rPr>
        <w:t xml:space="preserve"> 2016), Triphenylamine (Periyasamy </w:t>
      </w:r>
      <w:r>
        <w:rPr>
          <w:i/>
          <w:sz w:val="20"/>
          <w:szCs w:val="20"/>
        </w:rPr>
        <w:t>et al.,</w:t>
      </w:r>
      <w:r>
        <w:rPr>
          <w:sz w:val="20"/>
          <w:szCs w:val="20"/>
        </w:rPr>
        <w:t xml:space="preserve"> 2023; Slimi </w:t>
      </w:r>
      <w:r>
        <w:rPr>
          <w:i/>
          <w:sz w:val="20"/>
          <w:szCs w:val="20"/>
        </w:rPr>
        <w:t>et al.,</w:t>
      </w:r>
      <w:r>
        <w:rPr>
          <w:sz w:val="20"/>
          <w:szCs w:val="20"/>
        </w:rPr>
        <w:t xml:space="preserve"> 2020), Phthalocyanine (Tunç </w:t>
      </w:r>
      <w:r>
        <w:rPr>
          <w:i/>
          <w:sz w:val="20"/>
          <w:szCs w:val="20"/>
        </w:rPr>
        <w:t>et al.,</w:t>
      </w:r>
      <w:r>
        <w:rPr>
          <w:sz w:val="20"/>
          <w:szCs w:val="20"/>
        </w:rPr>
        <w:t xml:space="preserve"> 2019; Tunç </w:t>
      </w:r>
      <w:r>
        <w:rPr>
          <w:i/>
          <w:sz w:val="20"/>
          <w:szCs w:val="20"/>
        </w:rPr>
        <w:t>et al.,</w:t>
      </w:r>
      <w:r>
        <w:rPr>
          <w:sz w:val="20"/>
          <w:szCs w:val="20"/>
        </w:rPr>
        <w:t xml:space="preserve"> 2021), Perylene (Kavery </w:t>
      </w:r>
      <w:r>
        <w:rPr>
          <w:i/>
          <w:sz w:val="20"/>
          <w:szCs w:val="20"/>
        </w:rPr>
        <w:t xml:space="preserve">et al., </w:t>
      </w:r>
      <w:r>
        <w:rPr>
          <w:sz w:val="20"/>
          <w:szCs w:val="20"/>
        </w:rPr>
        <w:t xml:space="preserve">2021; Echeverry </w:t>
      </w:r>
      <w:r>
        <w:rPr>
          <w:i/>
          <w:sz w:val="20"/>
          <w:szCs w:val="20"/>
        </w:rPr>
        <w:t>et al.,</w:t>
      </w:r>
      <w:r>
        <w:rPr>
          <w:sz w:val="20"/>
          <w:szCs w:val="20"/>
        </w:rPr>
        <w:t xml:space="preserve"> 2018), Carbazole (Abusaif </w:t>
      </w:r>
      <w:r>
        <w:rPr>
          <w:i/>
          <w:sz w:val="20"/>
          <w:szCs w:val="20"/>
        </w:rPr>
        <w:t>et al.,</w:t>
      </w:r>
      <w:r>
        <w:rPr>
          <w:sz w:val="20"/>
          <w:szCs w:val="20"/>
        </w:rPr>
        <w:t xml:space="preserve"> 2021; Periyasamy </w:t>
      </w:r>
      <w:r>
        <w:rPr>
          <w:i/>
          <w:sz w:val="20"/>
          <w:szCs w:val="20"/>
        </w:rPr>
        <w:t>et al.,</w:t>
      </w:r>
      <w:r>
        <w:rPr>
          <w:sz w:val="20"/>
          <w:szCs w:val="20"/>
        </w:rPr>
        <w:t xml:space="preserve"> 2023), etc were designed, synthesized and their photovoltaic properties on DSSCs were explored.</w:t>
      </w:r>
    </w:p>
    <w:p w14:paraId="74481750">
      <w:pPr>
        <w:pStyle w:val="2"/>
        <w:spacing w:before="0"/>
        <w:jc w:val="both"/>
        <w:rPr>
          <w:rFonts w:ascii="Times New Roman" w:hAnsi="Times New Roman" w:cs="Times New Roman"/>
          <w:color w:val="auto"/>
          <w:sz w:val="20"/>
          <w:szCs w:val="20"/>
        </w:rPr>
      </w:pPr>
      <w:bookmarkStart w:id="50" w:name="_Toc177052005"/>
      <w:r>
        <w:rPr>
          <w:rFonts w:ascii="Times New Roman" w:hAnsi="Times New Roman" w:cs="Times New Roman"/>
          <w:color w:val="auto"/>
          <w:sz w:val="20"/>
          <w:szCs w:val="20"/>
        </w:rPr>
        <w:t>2.2.1 Triphenylamine Dyes</w:t>
      </w:r>
      <w:bookmarkEnd w:id="50"/>
    </w:p>
    <w:p w14:paraId="0CB34277">
      <w:pPr>
        <w:jc w:val="both"/>
        <w:rPr>
          <w:sz w:val="20"/>
          <w:szCs w:val="20"/>
        </w:rPr>
      </w:pPr>
      <w:r>
        <w:rPr>
          <w:sz w:val="20"/>
          <w:szCs w:val="20"/>
        </w:rPr>
        <w:t xml:space="preserve">Tripheylamine-based sensitizers were extensively investigated for optoelectronics application due to their hole-transporting and electron-donating properties (Deogratias </w:t>
      </w:r>
      <w:r>
        <w:rPr>
          <w:i/>
          <w:sz w:val="20"/>
          <w:szCs w:val="20"/>
        </w:rPr>
        <w:t>et al.,</w:t>
      </w:r>
      <w:r>
        <w:rPr>
          <w:sz w:val="20"/>
          <w:szCs w:val="20"/>
        </w:rPr>
        <w:t xml:space="preserve"> 2020).  Aggregation is minimized because of its nonplanar structure which leads to having DSSCs with high efficiencies (Farokhi </w:t>
      </w:r>
      <w:r>
        <w:rPr>
          <w:i/>
          <w:sz w:val="20"/>
          <w:szCs w:val="20"/>
        </w:rPr>
        <w:t>et al.,</w:t>
      </w:r>
      <w:r>
        <w:rPr>
          <w:sz w:val="20"/>
          <w:szCs w:val="20"/>
        </w:rPr>
        <w:t xml:space="preserve"> 2023). The first synthesized triphenylamine-based sensitizers were reported by Yanagida and co-workers with an efficiency of 3.3% for sensitizer 1b and 5.3% for sensitizer 2b (Hua, 2014). Another novel starburst triphenylamine-based sensitizers were reported by Tian</w:t>
      </w:r>
      <w:r>
        <w:rPr>
          <w:i/>
          <w:sz w:val="20"/>
          <w:szCs w:val="20"/>
        </w:rPr>
        <w:t xml:space="preserve"> et al.,</w:t>
      </w:r>
      <w:r>
        <w:rPr>
          <w:sz w:val="20"/>
          <w:szCs w:val="20"/>
        </w:rPr>
        <w:t xml:space="preserve"> 2008 bearing this configuration D–D–π–A. among the sensitizers, S4 was reported to have the highest efficiency due to the higher molar extinction coefficient influenced by the starburst triphenylamine group (Ning </w:t>
      </w:r>
      <w:r>
        <w:rPr>
          <w:i/>
          <w:sz w:val="20"/>
          <w:szCs w:val="20"/>
        </w:rPr>
        <w:t>et al.,</w:t>
      </w:r>
      <w:r>
        <w:rPr>
          <w:sz w:val="20"/>
          <w:szCs w:val="20"/>
        </w:rPr>
        <w:t xml:space="preserve"> 2004).</w:t>
      </w:r>
    </w:p>
    <w:p w14:paraId="54098002">
      <w:pPr>
        <w:jc w:val="both"/>
        <w:rPr>
          <w:sz w:val="20"/>
          <w:szCs w:val="20"/>
        </w:rPr>
      </w:pPr>
      <w:r>
        <w:rPr>
          <w:sz w:val="20"/>
          <w:szCs w:val="20"/>
        </w:rPr>
        <w:t xml:space="preserve">Alkoxy substituted triphenylamine-based sensitizer coded as C219 was synthesized, featuring ethylene dioxy thiophene and di thieno silole as a binary conjugated spacer. It has been reported to have a higher molar extinction coefficient and broader absorption spectrum with a higher conversion efficiency of 10.3% and 8.9% when fabricated in a liquid electrolyte or solvent-free ionic liquid-based DSSC respectively (Kim </w:t>
      </w:r>
      <w:r>
        <w:rPr>
          <w:i/>
          <w:sz w:val="20"/>
          <w:szCs w:val="20"/>
        </w:rPr>
        <w:t>et al.,</w:t>
      </w:r>
      <w:r>
        <w:rPr>
          <w:sz w:val="20"/>
          <w:szCs w:val="20"/>
        </w:rPr>
        <w:t xml:space="preserve"> 2008).</w:t>
      </w:r>
    </w:p>
    <w:p w14:paraId="0B80B016">
      <w:pPr>
        <w:jc w:val="both"/>
        <w:rPr>
          <w:sz w:val="20"/>
          <w:szCs w:val="20"/>
        </w:rPr>
      </w:pPr>
      <w:r>
        <mc:AlternateContent>
          <mc:Choice Requires="wps">
            <w:drawing>
              <wp:anchor distT="0" distB="0" distL="114300" distR="114300" simplePos="0" relativeHeight="251677696" behindDoc="0" locked="0" layoutInCell="1" allowOverlap="1">
                <wp:simplePos x="0" y="0"/>
                <wp:positionH relativeFrom="column">
                  <wp:posOffset>2838450</wp:posOffset>
                </wp:positionH>
                <wp:positionV relativeFrom="paragraph">
                  <wp:posOffset>1663700</wp:posOffset>
                </wp:positionV>
                <wp:extent cx="495300" cy="316230"/>
                <wp:effectExtent l="0" t="0" r="0" b="0"/>
                <wp:wrapNone/>
                <wp:docPr id="1438769884"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5DC7D609">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131pt;height:24.9pt;width:39pt;z-index:251677696;mso-width-relative:page;mso-height-relative:page;" filled="f" stroked="f" coordsize="21600,21600" o:gfxdata="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BmQdA3AAAAAsBAAAPAAAAAAAAAAEAIAAAACIAAABkcnMvZG93bnJl&#10;di54bWxQSwECFAAUAAAACACHTuJAIR0XAjICAABtBAAADgAAAAAAAAABACAAAAArAQAAZHJzL2Uy&#10;b0RvYy54bWxQSwUGAAAAAAYABgBZAQAAzwUAAAAA&#10;">
                <v:fill on="f" focussize="0,0"/>
                <v:stroke on="f" weight="0.5pt"/>
                <v:imagedata o:title=""/>
                <o:lock v:ext="edit" aspectratio="f"/>
                <v:textbox>
                  <w:txbxContent>
                    <w:p w14:paraId="5DC7D609">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277</w:t>
                      </w:r>
                    </w:p>
                  </w:txbxContent>
                </v:textbox>
              </v:shape>
            </w:pict>
          </mc:Fallback>
        </mc:AlternateContent>
      </w:r>
      <w:r>
        <w:rPr>
          <w:sz w:val="20"/>
          <w:szCs w:val="20"/>
        </w:rPr>
        <w:t xml:space="preserve">Dimethylfluorenylamino was used as the donor group for triphenylamine-based sensitizers coded as JK2 with a reported conversion efficiency of 7.63%. Its nonplanar molecular structure influences the resistance to degradation when exposed to illumination (Zeng </w:t>
      </w:r>
      <w:r>
        <w:rPr>
          <w:i/>
          <w:sz w:val="20"/>
          <w:szCs w:val="20"/>
        </w:rPr>
        <w:t>et al.,</w:t>
      </w:r>
      <w:r>
        <w:rPr>
          <w:sz w:val="20"/>
          <w:szCs w:val="20"/>
        </w:rPr>
        <w:t xml:space="preserve"> 200). Another triphenylamine-based sensitizer was synthesized and applied on DSSC featuring diflourenylaminophenyl, fused dithienothiophene unit, and cyanoacrylic acid with an efficiency of 8.0% and stable to subsequent heating and illumination (Qin </w:t>
      </w:r>
      <w:r>
        <w:rPr>
          <w:i/>
          <w:sz w:val="20"/>
          <w:szCs w:val="20"/>
        </w:rPr>
        <w:t>et al.,</w:t>
      </w:r>
      <w:r>
        <w:rPr>
          <w:sz w:val="20"/>
          <w:szCs w:val="20"/>
        </w:rPr>
        <w:t xml:space="preserve"> 2008).</w:t>
      </w:r>
    </w:p>
    <w:p w14:paraId="62EFE9EC">
      <w:pPr>
        <w:jc w:val="both"/>
        <w:rPr>
          <w:sz w:val="20"/>
          <w:szCs w:val="20"/>
        </w:rPr>
      </w:pPr>
      <w:r>
        <w:rPr>
          <w:sz w:val="20"/>
          <w:szCs w:val="20"/>
        </w:rPr>
        <w:t xml:space="preserve">TPA-based sensitizers containing bithiophene and thienothiophene units were synthesized and reported to have an efficiency of 6.6% and 7% respectively, the thienothiophene linker causes the decrease in Voc value because of back electron transfer (Li </w:t>
      </w:r>
      <w:r>
        <w:rPr>
          <w:i/>
          <w:sz w:val="20"/>
          <w:szCs w:val="20"/>
        </w:rPr>
        <w:t>et al.,</w:t>
      </w:r>
      <w:r>
        <w:rPr>
          <w:sz w:val="20"/>
          <w:szCs w:val="20"/>
        </w:rPr>
        <w:t xml:space="preserve"> 2008). Zhang </w:t>
      </w:r>
      <w:r>
        <w:rPr>
          <w:i/>
          <w:sz w:val="20"/>
          <w:szCs w:val="20"/>
        </w:rPr>
        <w:t>et al.,</w:t>
      </w:r>
      <w:r>
        <w:rPr>
          <w:sz w:val="20"/>
          <w:szCs w:val="20"/>
        </w:rPr>
        <w:t xml:space="preserve">(2009) reported a series of Bis-TPA substituted sensitizers and compared their photovoltaic properties with their corresponding mono-TPA substituted sensitizers. The results show that the Bis-TPA substituted sensitizers have Voc than their corresponding mono-TPA substituted sensitizers (Zhang </w:t>
      </w:r>
      <w:r>
        <w:rPr>
          <w:i/>
          <w:sz w:val="20"/>
          <w:szCs w:val="20"/>
        </w:rPr>
        <w:t>et al.,</w:t>
      </w:r>
      <w:r>
        <w:rPr>
          <w:sz w:val="20"/>
          <w:szCs w:val="20"/>
        </w:rPr>
        <w:t xml:space="preserve"> 2009a). Simple organic TPA-based sensitizers featuring thiophene derivatives were synthesized and reported that the sensitizer with the highest efficiency of 7.3% was a result of a high molar absorption coefficient, broader absorption spectrum, and high quantity of the sensitizer adsorbed on TiO2 film (Shang </w:t>
      </w:r>
      <w:r>
        <w:rPr>
          <w:i/>
          <w:sz w:val="20"/>
          <w:szCs w:val="20"/>
        </w:rPr>
        <w:t>et al.,</w:t>
      </w:r>
      <w:r>
        <w:rPr>
          <w:sz w:val="20"/>
          <w:szCs w:val="20"/>
        </w:rPr>
        <w:t xml:space="preserve"> 2010). The same research group also reported other sets of TPA-based sensitizers featuring thiophene derivative (3,4-ethylenedioxythiophene EDOT) and functionalized phenylenes as spacers. The results obtained show that the molar extinction coefficient and efficiencies of the sensitizers are higher than the earlier reported parent sensitizers (8.22%) (Liu </w:t>
      </w:r>
      <w:r>
        <w:rPr>
          <w:i/>
          <w:sz w:val="20"/>
          <w:szCs w:val="20"/>
        </w:rPr>
        <w:t>et al.,</w:t>
      </w:r>
      <w:r>
        <w:rPr>
          <w:sz w:val="20"/>
          <w:szCs w:val="20"/>
        </w:rPr>
        <w:t xml:space="preserve"> 2008). To check the influence of double bonds on TPA-based sensitizers, Teng and co-workers reported a sensitizer with an efficiency of 5.73%. They reported that the high efficiency was the result of introducing the double bonds in the molecular structure of the sensitizer (Teng </w:t>
      </w:r>
      <w:r>
        <w:rPr>
          <w:i/>
          <w:sz w:val="20"/>
          <w:szCs w:val="20"/>
        </w:rPr>
        <w:t>et al.,</w:t>
      </w:r>
      <w:r>
        <w:rPr>
          <w:sz w:val="20"/>
          <w:szCs w:val="20"/>
        </w:rPr>
        <w:t xml:space="preserve"> 2010a).</w:t>
      </w:r>
    </w:p>
    <w:p w14:paraId="28EDE9D6">
      <w:pPr>
        <w:jc w:val="both"/>
        <w:rPr>
          <w:sz w:val="20"/>
          <w:szCs w:val="20"/>
        </w:rPr>
      </w:pPr>
      <w:r>
        <w:rPr>
          <w:sz w:val="20"/>
          <w:szCs w:val="20"/>
        </w:rPr>
        <w:t>A series of TPA-based sensitizers were reported in the Doctoral thesis of Hagberg, he reported that the efficiencies of the sensitizers decreased with an increase in the conjugation from 3.8%, 2.7% to 1.70%. The lower efficiency of 2.7% and 1.70% was due to the poor binding of these sensitizers on the TiO</w:t>
      </w:r>
      <w:r>
        <w:rPr>
          <w:sz w:val="20"/>
          <w:szCs w:val="20"/>
          <w:vertAlign w:val="subscript"/>
        </w:rPr>
        <w:t>2</w:t>
      </w:r>
      <w:r>
        <w:rPr>
          <w:sz w:val="20"/>
          <w:szCs w:val="20"/>
        </w:rPr>
        <w:t xml:space="preserve"> surface. Employing rhodanine acetic acid to replace cyanoacetic acid as the electron acceptor resulted in obtaining lower efficiencies than the parent sensitizers because of an increase in charge recombination. Employing two donors’ moieties on the sensitizers raises the efficiency to 5.4% and 7.2% because open-circuit potentials have been raised while charge recombination has been prevented. The efficiency of 7.2% was obtained due to the presence of the methoxy group as an Auxillary donor (Hagberg, 2009).</w:t>
      </w:r>
    </w:p>
    <w:p w14:paraId="4A308E2F">
      <w:pPr>
        <w:jc w:val="both"/>
        <w:rPr>
          <w:sz w:val="20"/>
          <w:szCs w:val="20"/>
        </w:rPr>
      </w:pPr>
      <w:r>
        <w:rPr>
          <w:sz w:val="20"/>
          <w:szCs w:val="20"/>
        </w:rPr>
        <w:t xml:space="preserve">The employment of dihexyloxy-substituted TPA-based sensitizers on DSSCs has proven to enhance the open-circuit photovoltage of the device and slow down the charge recombination rate. A series of dihexyloxy-substituted TPA-based sensitizers were synthesized and reported to have efficiencies of 6.88%, 7.5%, and 8.0%. The increase in efficiency from 6.88% to 7.5% was a result of replacing the thiophene unit with thienothiophene moiety while employing the bisthienothiophene compound as a conjugated linker increases the efficiency to 8.0% (Zhang </w:t>
      </w:r>
      <w:r>
        <w:rPr>
          <w:i/>
          <w:sz w:val="20"/>
          <w:szCs w:val="20"/>
        </w:rPr>
        <w:t xml:space="preserve">et al., </w:t>
      </w:r>
      <w:r>
        <w:rPr>
          <w:sz w:val="20"/>
          <w:szCs w:val="20"/>
        </w:rPr>
        <w:t xml:space="preserve">2009b; Li </w:t>
      </w:r>
      <w:r>
        <w:rPr>
          <w:i/>
          <w:sz w:val="20"/>
          <w:szCs w:val="20"/>
        </w:rPr>
        <w:t>et al.,</w:t>
      </w:r>
      <w:r>
        <w:rPr>
          <w:sz w:val="20"/>
          <w:szCs w:val="20"/>
        </w:rPr>
        <w:t xml:space="preserve"> 2009). Efficiency was also increased from 8.0% to 9.8% by employing iodine electrolyte which shows that the fused rings are the building blocks for designing and synthesizing an efficient sensitizer for DSSCs (Zhang </w:t>
      </w:r>
      <w:r>
        <w:rPr>
          <w:i/>
          <w:sz w:val="20"/>
          <w:szCs w:val="20"/>
        </w:rPr>
        <w:t>et al.,</w:t>
      </w:r>
      <w:r>
        <w:rPr>
          <w:sz w:val="20"/>
          <w:szCs w:val="20"/>
        </w:rPr>
        <w:t xml:space="preserve"> 2009c).</w:t>
      </w:r>
    </w:p>
    <w:p w14:paraId="43CB79F0">
      <w:pPr>
        <w:jc w:val="both"/>
        <w:rPr>
          <w:sz w:val="20"/>
          <w:szCs w:val="20"/>
        </w:rPr>
      </w:pPr>
      <w:r>
        <w:rPr>
          <w:sz w:val="20"/>
          <w:szCs w:val="20"/>
        </w:rPr>
        <w:t>Lower efficiency cells of 0.07%, 0.09%, and 0.15% were obtained by TPA-based sensitizers by using different acceptors. The lower efficiencies were related to the presence of a strong electron-withdrawing group that prevented the regeneration process from being carried out efficiently due to insufficient driving force to oxidize the reduced sensitizer by I</w:t>
      </w:r>
      <w:r>
        <w:rPr>
          <w:sz w:val="20"/>
          <w:szCs w:val="20"/>
          <w:vertAlign w:val="subscript"/>
        </w:rPr>
        <w:t>3</w:t>
      </w:r>
      <w:r>
        <w:rPr>
          <w:sz w:val="20"/>
          <w:szCs w:val="20"/>
        </w:rPr>
        <w:t xml:space="preserve"> (Qin, 2010). </w:t>
      </w:r>
    </w:p>
    <w:p w14:paraId="7011D65C">
      <w:pPr>
        <w:jc w:val="both"/>
        <w:rPr>
          <w:sz w:val="20"/>
          <w:szCs w:val="20"/>
        </w:rPr>
      </w:pPr>
      <w:r>
        <w:rPr>
          <w:sz w:val="20"/>
          <w:szCs w:val="20"/>
        </w:rPr>
        <w:t xml:space="preserve">A series of TPA-based sensitizers were synthesized to have a broader absorption spectrum by employing anthracene moiety, vinyl group, and triple bond to extend the conjugation length.  Efficiencies of 3.09, 5.14, and 6.78% were obtained but when the methoxy group was introduced the efficiencies increased to 6.82% and 7.03% higher than the efficiencies of the corresponding sensitizers (6.78% and 4.50%) (Zeng </w:t>
      </w:r>
      <w:r>
        <w:rPr>
          <w:i/>
          <w:sz w:val="20"/>
          <w:szCs w:val="20"/>
        </w:rPr>
        <w:t>et al.,</w:t>
      </w:r>
      <w:r>
        <w:rPr>
          <w:sz w:val="20"/>
          <w:szCs w:val="20"/>
        </w:rPr>
        <w:t xml:space="preserve"> 2010).</w:t>
      </w:r>
    </w:p>
    <w:p w14:paraId="77597005">
      <w:pPr>
        <w:jc w:val="both"/>
        <w:rPr>
          <w:sz w:val="20"/>
          <w:szCs w:val="20"/>
        </w:rPr>
      </w:pPr>
      <w:r>
        <w:rPr>
          <w:sz w:val="20"/>
          <w:szCs w:val="20"/>
        </w:rPr>
        <w:t xml:space="preserve">Zeng </w:t>
      </w:r>
      <w:r>
        <w:rPr>
          <w:i/>
          <w:sz w:val="20"/>
          <w:szCs w:val="20"/>
        </w:rPr>
        <w:t>et al.,</w:t>
      </w:r>
      <w:r>
        <w:rPr>
          <w:sz w:val="20"/>
          <w:szCs w:val="20"/>
        </w:rPr>
        <w:t xml:space="preserve"> (2011) reported TPA-based sensitizers having efficiencies of between (10.0% - 10.3%). The IPCE obtained at the range of 500nm to 540nm was 90% but coating with antireflective film raises the IPCE to 95%. This shows that the sensitizers have good photovoltaic properties (Zeng </w:t>
      </w:r>
      <w:r>
        <w:rPr>
          <w:i/>
          <w:sz w:val="20"/>
          <w:szCs w:val="20"/>
        </w:rPr>
        <w:t>et al.,</w:t>
      </w:r>
      <w:r>
        <w:rPr>
          <w:sz w:val="20"/>
          <w:szCs w:val="20"/>
        </w:rPr>
        <w:t xml:space="preserve"> 2011). A series of TPA-based sensitizers were reported with efficiencies of 0.44%, 3.49%, 3.86%, and 4.36% featuring phenylene with different substitutes. The lower efficiency of 0.44% was a result of the narrow visible spectrum response of the sensitizer (Tian </w:t>
      </w:r>
      <w:r>
        <w:rPr>
          <w:i/>
          <w:sz w:val="20"/>
          <w:szCs w:val="20"/>
        </w:rPr>
        <w:t>et al.,</w:t>
      </w:r>
      <w:r>
        <w:rPr>
          <w:sz w:val="20"/>
          <w:szCs w:val="20"/>
        </w:rPr>
        <w:t xml:space="preserve"> 2008). Higher efficiencies of 5.07% and 5.17% were obtained by TPA-based sensitizers containing double di (p- tolyl) phenylamine substitutes and hexyl substitutes that suppressed the charge recombination and increased the Voc of the cell (Chen </w:t>
      </w:r>
      <w:r>
        <w:rPr>
          <w:i/>
          <w:sz w:val="20"/>
          <w:szCs w:val="20"/>
        </w:rPr>
        <w:t>et al.,</w:t>
      </w:r>
      <w:r>
        <w:rPr>
          <w:sz w:val="20"/>
          <w:szCs w:val="20"/>
        </w:rPr>
        <w:t xml:space="preserve"> 2010).</w:t>
      </w:r>
    </w:p>
    <w:p w14:paraId="3D2B5F89">
      <w:pPr>
        <w:jc w:val="both"/>
        <w:rPr>
          <w:sz w:val="20"/>
          <w:szCs w:val="20"/>
        </w:rPr>
      </w:pPr>
      <w:r>
        <mc:AlternateContent>
          <mc:Choice Requires="wps">
            <w:drawing>
              <wp:anchor distT="0" distB="0" distL="114300" distR="114300" simplePos="0" relativeHeight="251678720" behindDoc="0" locked="0" layoutInCell="1" allowOverlap="1">
                <wp:simplePos x="0" y="0"/>
                <wp:positionH relativeFrom="column">
                  <wp:posOffset>2825750</wp:posOffset>
                </wp:positionH>
                <wp:positionV relativeFrom="paragraph">
                  <wp:posOffset>2882900</wp:posOffset>
                </wp:positionV>
                <wp:extent cx="495300" cy="316230"/>
                <wp:effectExtent l="0" t="0" r="0" b="0"/>
                <wp:wrapNone/>
                <wp:docPr id="1647623753"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1F6189E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2.5pt;margin-top:227pt;height:24.9pt;width:39pt;z-index:251678720;mso-width-relative:page;mso-height-relative:page;" filled="f" stroked="f" coordsize="21600,21600" o:gfxdata="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ljUM52gAAAAsBAAAPAAAAAAAAAAEAIAAAACIAAABkcnMvZG93bnJldi54&#10;bWxQSwECFAAUAAAACACHTuJAmQHRVjECAABtBAAADgAAAAAAAAABACAAAAApAQAAZHJzL2Uyb0Rv&#10;Yy54bWxQSwUGAAAAAAYABgBZAQAAzAUAAAAA&#10;">
                <v:fill on="f" focussize="0,0"/>
                <v:stroke on="f" weight="0.5pt"/>
                <v:imagedata o:title=""/>
                <o:lock v:ext="edit" aspectratio="f"/>
                <v:textbox>
                  <w:txbxContent>
                    <w:p w14:paraId="1F6189E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278</w:t>
                      </w:r>
                    </w:p>
                  </w:txbxContent>
                </v:textbox>
              </v:shape>
            </w:pict>
          </mc:Fallback>
        </mc:AlternateContent>
      </w:r>
      <w:r>
        <w:rPr>
          <w:sz w:val="20"/>
          <w:szCs w:val="20"/>
        </w:rPr>
        <w:t xml:space="preserve">The effect of the presence of the butoxy group on TPA-based sensitizers was observed by Shang et al. (2010). They reported that the presence of two butoxy groups on the TPA donor reduced the recombination rate, and increased the Voc and ff values of the cell to have an efficiency of 7.38%. Increasing the number of the anchoring groups (cyanoacrylic acid) on the sensitizer to three resulted in a cell with poor photovoltaic properties. They concluded that the number of butoxy and anchoring groups has an impact on the photovoltaic properties of the cell (Shang </w:t>
      </w:r>
      <w:r>
        <w:rPr>
          <w:i/>
          <w:sz w:val="20"/>
          <w:szCs w:val="20"/>
        </w:rPr>
        <w:t xml:space="preserve">et al., </w:t>
      </w:r>
      <w:r>
        <w:rPr>
          <w:sz w:val="20"/>
          <w:szCs w:val="20"/>
        </w:rPr>
        <w:t xml:space="preserve">2010). The presence of a longer alkoxy group on TPA-based sensitizers was found to improve the efficiency and photovoltaic properties of the cell. Efficiencies of 5.64% and 6.04% were obtained with longer hydrocarbon chains while the efficiency of 4.99% was obtained by shorter hydrocarbon chains (Yu </w:t>
      </w:r>
      <w:r>
        <w:rPr>
          <w:i/>
          <w:sz w:val="20"/>
          <w:szCs w:val="20"/>
        </w:rPr>
        <w:t>et al.,</w:t>
      </w:r>
      <w:r>
        <w:rPr>
          <w:sz w:val="20"/>
          <w:szCs w:val="20"/>
        </w:rPr>
        <w:t xml:space="preserve"> 2011). </w:t>
      </w:r>
    </w:p>
    <w:p w14:paraId="43FCDE04">
      <w:pPr>
        <w:jc w:val="both"/>
        <w:rPr>
          <w:sz w:val="20"/>
          <w:szCs w:val="20"/>
        </w:rPr>
      </w:pPr>
      <w:r>
        <w:rPr>
          <w:sz w:val="20"/>
          <w:szCs w:val="20"/>
        </w:rPr>
        <w:t xml:space="preserve">Another TPA-based sensitizer with an efficiency of 6.04% and a broader absorption spectrum was reported by Jiang et al (Tang </w:t>
      </w:r>
      <w:r>
        <w:rPr>
          <w:i/>
          <w:sz w:val="20"/>
          <w:szCs w:val="20"/>
        </w:rPr>
        <w:t>et al.,</w:t>
      </w:r>
      <w:r>
        <w:rPr>
          <w:sz w:val="20"/>
          <w:szCs w:val="20"/>
        </w:rPr>
        <w:t xml:space="preserve"> 2010). A series of TPA-based sensitizers were synthesized to determine the difference in structural effect on the photovoltaic properties of the DSSC. The efficiencies obtained by para-substituted sensitizers are (4.12%, 1.78%, 2.92%, and 0.83%) above the Meta substituted sensitizers of (2.23%, 0.48%, 1.27% and 0.08%) (Lin </w:t>
      </w:r>
      <w:r>
        <w:rPr>
          <w:i/>
          <w:sz w:val="20"/>
          <w:szCs w:val="20"/>
        </w:rPr>
        <w:t>et al.,</w:t>
      </w:r>
      <w:r>
        <w:rPr>
          <w:sz w:val="20"/>
          <w:szCs w:val="20"/>
        </w:rPr>
        <w:t xml:space="preserve"> 2011). A series of TPA sensitizers to determine the photovoltaic effect of single, double, and triple bonds were reported. Sensitizer with a single bond has higher photovoltaic properties compared to sensitizers with double and triple bonds due to the high charge separation. The absorption maximum of the sensitizer having the triple bond is blue-shifted relative to the sensitizers with double and single bonds while the absorption maximum of the sensitizer with the double bond bridged unit is red-shifted relative to the sensitizer with a single bond (Lee </w:t>
      </w:r>
      <w:r>
        <w:rPr>
          <w:i/>
          <w:sz w:val="20"/>
          <w:szCs w:val="20"/>
        </w:rPr>
        <w:t>et al.,</w:t>
      </w:r>
      <w:r>
        <w:rPr>
          <w:sz w:val="20"/>
          <w:szCs w:val="20"/>
        </w:rPr>
        <w:t xml:space="preserve"> 2011).</w:t>
      </w:r>
    </w:p>
    <w:p w14:paraId="56DE11B9">
      <w:pPr>
        <w:jc w:val="both"/>
        <w:rPr>
          <w:sz w:val="20"/>
          <w:szCs w:val="20"/>
        </w:rPr>
      </w:pPr>
      <w:r>
        <w:rPr>
          <w:sz w:val="20"/>
          <w:szCs w:val="20"/>
        </w:rPr>
        <w:t xml:space="preserve">Series of TPA-based sensitizers were synthesized featuring  2, 2, 6, 6-tetramethyl benzo[1,2-d;4,5-d’]bis[1,3]dioxole (TMBD), phenyl, and 1,4-dipropoxybenzene DPB as a p-conjugated spacer to determine the effect of alkoxy substituent group on the cell. The results showed that; employing the alkoxy substituents on the donor influences the light-harvesting property and enhances the donating ability of the donor. The highest efficiency obtained among these sensitizers was 7.02% with good Voc, Jsc, and ff values (Han </w:t>
      </w:r>
      <w:r>
        <w:rPr>
          <w:i/>
          <w:sz w:val="20"/>
          <w:szCs w:val="20"/>
        </w:rPr>
        <w:t>et al.,</w:t>
      </w:r>
      <w:r>
        <w:rPr>
          <w:sz w:val="20"/>
          <w:szCs w:val="20"/>
        </w:rPr>
        <w:t xml:space="preserve"> 2011).</w:t>
      </w:r>
    </w:p>
    <w:p w14:paraId="205AD0FB">
      <w:pPr>
        <w:jc w:val="both"/>
        <w:rPr>
          <w:sz w:val="20"/>
          <w:szCs w:val="20"/>
        </w:rPr>
      </w:pPr>
      <w:r>
        <w:rPr>
          <w:sz w:val="20"/>
          <w:szCs w:val="20"/>
        </w:rPr>
        <w:t xml:space="preserve">A series of TPA-based sensitizers were synthesized by replacing 3,4-Dialkyl-thiophene rings with 3, 4-dibutyl-thiophene rings. The results obtained showed that sensitizer aggregation was reduced which influenced higher efficiencies of 7.17% and 6.27% without using co-adsorbing agents (Kozma </w:t>
      </w:r>
      <w:r>
        <w:rPr>
          <w:i/>
          <w:sz w:val="20"/>
          <w:szCs w:val="20"/>
        </w:rPr>
        <w:t>et al.,</w:t>
      </w:r>
      <w:r>
        <w:rPr>
          <w:sz w:val="20"/>
          <w:szCs w:val="20"/>
        </w:rPr>
        <w:t xml:space="preserve"> 2011). TPA-based sensitizer containing fluorine substituent attached to the phenyl group, ortho to the cyanoacrylate was reported to have a higher efficiency of 5.19% and good photovoltaic properties compared to unsubstituted one having 4.98% efficiency. The efficiency of the sensitizer was further reduced when two fluorines were introduced at the ortho position due to the distortion of planer geometry (Lin and Chow, 2012). A series of TPA-based sensitizers were synthesized using the D-D-π-A strategy, whereby arylamine and carbazole moieties were used as the auxiliary donors to increase the thermal stability, extend the absorption range of the sensitizers through the bathochromic shift. The highest efficiency obtained was 6.0% (Ning </w:t>
      </w:r>
      <w:r>
        <w:rPr>
          <w:i/>
          <w:sz w:val="20"/>
          <w:szCs w:val="20"/>
        </w:rPr>
        <w:t>et al.,</w:t>
      </w:r>
      <w:r>
        <w:rPr>
          <w:sz w:val="20"/>
          <w:szCs w:val="20"/>
        </w:rPr>
        <w:t xml:space="preserve"> 2008).</w:t>
      </w:r>
    </w:p>
    <w:p w14:paraId="76D0C54C">
      <w:pPr>
        <w:jc w:val="both"/>
        <w:rPr>
          <w:color w:val="000000"/>
          <w:sz w:val="20"/>
          <w:szCs w:val="20"/>
        </w:rPr>
      </w:pPr>
      <w:r>
        <w:rPr>
          <w:sz w:val="20"/>
          <w:szCs w:val="20"/>
        </w:rPr>
        <w:t xml:space="preserve">Kim et al reported a sensitizer containing a difluorenylamino group with cyanoacrylic acid as an acceptor, bridged by a p-phenylene vinylene group. The efficiency of this sensitizer is 7.0% which is a result of the broader absorption property (Kim </w:t>
      </w:r>
      <w:r>
        <w:rPr>
          <w:i/>
          <w:sz w:val="20"/>
          <w:szCs w:val="20"/>
        </w:rPr>
        <w:t>et al.,</w:t>
      </w:r>
      <w:r>
        <w:rPr>
          <w:sz w:val="20"/>
          <w:szCs w:val="20"/>
        </w:rPr>
        <w:t xml:space="preserve"> 2008)</w:t>
      </w:r>
    </w:p>
    <w:p w14:paraId="38556816">
      <w:pPr>
        <w:jc w:val="both"/>
        <w:rPr>
          <w:sz w:val="20"/>
          <w:szCs w:val="20"/>
        </w:rPr>
      </w:pPr>
    </w:p>
    <w:p w14:paraId="4ECD741D">
      <w:pPr>
        <w:spacing w:after="120"/>
        <w:jc w:val="both"/>
        <w:rPr>
          <w:b/>
          <w:sz w:val="20"/>
          <w:szCs w:val="20"/>
        </w:rPr>
        <w:sectPr>
          <w:type w:val="continuous"/>
          <w:pgSz w:w="12240" w:h="15840"/>
          <w:pgMar w:top="1440" w:right="1440" w:bottom="1440" w:left="1440" w:header="720" w:footer="720" w:gutter="0"/>
          <w:cols w:space="227" w:num="2"/>
          <w:docGrid w:linePitch="299" w:charSpace="0"/>
        </w:sectPr>
      </w:pPr>
    </w:p>
    <w:p w14:paraId="3C1CD077">
      <w:pPr>
        <w:spacing w:after="120"/>
        <w:jc w:val="center"/>
        <w:rPr>
          <w:b/>
          <w:sz w:val="20"/>
          <w:szCs w:val="20"/>
        </w:rPr>
      </w:pPr>
      <w:r>
        <w:rPr>
          <w:b/>
          <w:sz w:val="20"/>
          <w:szCs w:val="20"/>
        </w:rPr>
        <w:t>RESULTS AND DISCUSSION</w:t>
      </w:r>
    </w:p>
    <w:p w14:paraId="3AEC4A03">
      <w:pPr>
        <w:jc w:val="both"/>
        <w:rPr>
          <w:sz w:val="20"/>
          <w:szCs w:val="20"/>
        </w:rPr>
        <w:sectPr>
          <w:type w:val="continuous"/>
          <w:pgSz w:w="12240" w:h="15840"/>
          <w:pgMar w:top="1440" w:right="1440" w:bottom="1440" w:left="1440" w:header="720" w:footer="720" w:gutter="0"/>
          <w:cols w:space="227" w:num="1"/>
          <w:docGrid w:linePitch="299" w:charSpace="0"/>
        </w:sectPr>
      </w:pPr>
    </w:p>
    <w:p w14:paraId="00375B79">
      <w:pPr>
        <w:jc w:val="both"/>
        <w:rPr>
          <w:sz w:val="20"/>
          <w:szCs w:val="20"/>
        </w:rPr>
      </w:pPr>
    </w:p>
    <w:p w14:paraId="3F148E78">
      <w:pPr>
        <w:jc w:val="both"/>
        <w:rPr>
          <w:sz w:val="20"/>
          <w:szCs w:val="20"/>
        </w:rPr>
        <w:sectPr>
          <w:type w:val="continuous"/>
          <w:pgSz w:w="12240" w:h="15840"/>
          <w:pgMar w:top="1440" w:right="1440" w:bottom="1440" w:left="1440" w:header="720" w:footer="720" w:gutter="0"/>
          <w:cols w:space="227" w:num="2"/>
          <w:docGrid w:linePitch="299" w:charSpace="0"/>
        </w:sectPr>
      </w:pPr>
    </w:p>
    <w:p w14:paraId="12AA60CC">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927725" cy="2559050"/>
            <wp:effectExtent l="0" t="0" r="0" b="0"/>
            <wp:docPr id="21" name="Picture 21" descr="C:\Users\surface\Desktop\tetfund\TP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surface\Desktop\tetfund\TPA 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68107" cy="2576483"/>
                    </a:xfrm>
                    <a:prstGeom prst="rect">
                      <a:avLst/>
                    </a:prstGeom>
                    <a:noFill/>
                    <a:ln>
                      <a:noFill/>
                    </a:ln>
                  </pic:spPr>
                </pic:pic>
              </a:graphicData>
            </a:graphic>
          </wp:inline>
        </w:drawing>
      </w:r>
    </w:p>
    <w:p w14:paraId="66BCF3A5">
      <w:pPr>
        <w:jc w:val="both"/>
        <w:rPr>
          <w:sz w:val="20"/>
          <w:szCs w:val="20"/>
        </w:rPr>
      </w:pPr>
    </w:p>
    <w:p w14:paraId="6D4B7846">
      <w:pPr>
        <w:spacing w:before="240"/>
        <w:ind w:left="720" w:hanging="720"/>
        <w:jc w:val="both"/>
        <w:rPr>
          <w:b/>
          <w:sz w:val="20"/>
          <w:szCs w:val="20"/>
        </w:rPr>
        <w:sectPr>
          <w:type w:val="continuous"/>
          <w:pgSz w:w="12240" w:h="15840"/>
          <w:pgMar w:top="1440" w:right="1440" w:bottom="1440" w:left="1440" w:header="720" w:footer="720" w:gutter="0"/>
          <w:cols w:space="227" w:num="2"/>
          <w:docGrid w:linePitch="299" w:charSpace="0"/>
        </w:sectPr>
      </w:pPr>
      <w:bookmarkStart w:id="51" w:name="_Toc177052006"/>
    </w:p>
    <w:p w14:paraId="03520F0B">
      <w:pPr>
        <w:spacing w:before="240"/>
        <w:ind w:left="720" w:hanging="720"/>
        <w:jc w:val="center"/>
        <w:rPr>
          <w:sz w:val="20"/>
          <w:szCs w:val="20"/>
          <w:shd w:val="clear" w:color="auto" w:fill="FFFFFF"/>
        </w:rPr>
        <w:sectPr>
          <w:type w:val="continuous"/>
          <w:pgSz w:w="12240" w:h="15840"/>
          <w:pgMar w:top="1440" w:right="1440" w:bottom="1440" w:left="1440" w:header="720" w:footer="720" w:gutter="0"/>
          <w:cols w:space="227" w:num="1"/>
          <w:docGrid w:linePitch="299" w:charSpace="0"/>
        </w:sectPr>
      </w:pPr>
      <w:r>
        <w:rPr>
          <w:b/>
          <w:sz w:val="20"/>
          <w:szCs w:val="20"/>
        </w:rPr>
        <w:t xml:space="preserve">Fig 4 Chemical stuctures of some TPA-based sensitizers </w:t>
      </w:r>
      <w:r>
        <w:rPr>
          <w:sz w:val="20"/>
          <w:szCs w:val="20"/>
        </w:rPr>
        <w:t>(</w:t>
      </w:r>
      <w:r>
        <w:rPr>
          <w:sz w:val="20"/>
          <w:szCs w:val="20"/>
          <w:shd w:val="clear" w:color="auto" w:fill="FFFFFF"/>
        </w:rPr>
        <w:t xml:space="preserve">Mehmood, </w:t>
      </w:r>
      <w:r>
        <w:rPr>
          <w:i/>
          <w:sz w:val="20"/>
          <w:szCs w:val="20"/>
          <w:shd w:val="clear" w:color="auto" w:fill="FFFFFF"/>
        </w:rPr>
        <w:t>et al</w:t>
      </w:r>
      <w:r>
        <w:rPr>
          <w:sz w:val="20"/>
          <w:szCs w:val="20"/>
          <w:shd w:val="clear" w:color="auto" w:fill="FFFFFF"/>
        </w:rPr>
        <w:t>.,(2014)</w:t>
      </w:r>
    </w:p>
    <w:p w14:paraId="0298414B">
      <w:pPr>
        <w:ind w:left="720" w:hanging="720"/>
        <w:jc w:val="both"/>
        <w:rPr>
          <w:b/>
          <w:bCs/>
          <w:sz w:val="20"/>
          <w:szCs w:val="20"/>
        </w:rPr>
      </w:pPr>
      <w:r>
        <w:rPr>
          <w:sz w:val="20"/>
          <w:szCs w:val="20"/>
          <w:shd w:val="clear" w:color="auto" w:fill="FFFFFF"/>
        </w:rPr>
        <w:t xml:space="preserve"> </w:t>
      </w:r>
      <w:r>
        <w:rPr>
          <w:b/>
          <w:bCs/>
          <w:sz w:val="20"/>
          <w:szCs w:val="20"/>
        </w:rPr>
        <w:t>Indoline Dyes</w:t>
      </w:r>
      <w:bookmarkEnd w:id="51"/>
    </w:p>
    <w:p w14:paraId="260D9E5C">
      <w:pPr>
        <w:jc w:val="both"/>
        <w:rPr>
          <w:sz w:val="20"/>
          <w:szCs w:val="20"/>
        </w:rPr>
      </w:pPr>
      <w:r>
        <w:rPr>
          <w:sz w:val="20"/>
          <w:szCs w:val="20"/>
        </w:rPr>
        <w:t xml:space="preserve">The excellent photoelectric function of indoline is the reason behind its being employed in organic sensitizers synthesis for application in DSSCs, These heterocycles fused with indole display a higher tendency to donate electrons compared to those where indole is conjugated with larger p-systems (Cho </w:t>
      </w:r>
      <w:r>
        <w:rPr>
          <w:i/>
          <w:sz w:val="20"/>
          <w:szCs w:val="20"/>
        </w:rPr>
        <w:t>et al.,</w:t>
      </w:r>
      <w:r>
        <w:rPr>
          <w:sz w:val="20"/>
          <w:szCs w:val="20"/>
        </w:rPr>
        <w:t xml:space="preserve"> 2016)</w:t>
      </w:r>
    </w:p>
    <w:p w14:paraId="7380E72B">
      <w:pPr>
        <w:jc w:val="both"/>
        <w:rPr>
          <w:sz w:val="20"/>
          <w:szCs w:val="20"/>
        </w:rPr>
      </w:pPr>
      <w:r>
        <mc:AlternateContent>
          <mc:Choice Requires="wps">
            <w:drawing>
              <wp:anchor distT="0" distB="0" distL="114300" distR="114300" simplePos="0" relativeHeight="251679744" behindDoc="0" locked="0" layoutInCell="1" allowOverlap="1">
                <wp:simplePos x="0" y="0"/>
                <wp:positionH relativeFrom="column">
                  <wp:posOffset>2844800</wp:posOffset>
                </wp:positionH>
                <wp:positionV relativeFrom="paragraph">
                  <wp:posOffset>704850</wp:posOffset>
                </wp:positionV>
                <wp:extent cx="495300" cy="316230"/>
                <wp:effectExtent l="0" t="0" r="0" b="0"/>
                <wp:wrapNone/>
                <wp:docPr id="105861090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F13D38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pt;margin-top:55.5pt;height:24.9pt;width:39pt;z-index:251679744;mso-width-relative:page;mso-height-relative:page;" filled="f" stroked="f" coordsize="21600,21600" o:gfxdata="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JjcarZAAAACwEAAA8AAAAAAAAAAQAgAAAAIgAAAGRycy9kb3ducmV2Lnht&#10;bFBLAQIUABQAAAAIAIdO4kCt85MwMQIAAG0EAAAOAAAAAAAAAAEAIAAAACgBAABkcnMvZTJvRG9j&#10;LnhtbFBLBQYAAAAABgAGAFkBAADLBQAAAAA=&#10;">
                <v:fill on="f" focussize="0,0"/>
                <v:stroke on="f" weight="0.5pt"/>
                <v:imagedata o:title=""/>
                <o:lock v:ext="edit" aspectratio="f"/>
                <v:textbox>
                  <w:txbxContent>
                    <w:p w14:paraId="3F13D38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279</w:t>
                      </w:r>
                    </w:p>
                  </w:txbxContent>
                </v:textbox>
              </v:shape>
            </w:pict>
          </mc:Fallback>
        </mc:AlternateContent>
      </w:r>
      <w:r>
        <w:rPr>
          <w:sz w:val="20"/>
          <w:szCs w:val="20"/>
        </w:rPr>
        <w:t xml:space="preserve"> Another benefit of the fused indole systems is their enhanced planarity, which promotes better interaction between donor and acceptor, thus improving photovoltaic (PV) performance. Additionally, the possibility of functionalizing the nitrogen atom with long or branched alkyl chains in indole-based heterocyclic systems enhances solubility and prevents sensitizer aggregation. Most fused indoles serve as donor moieties in sensitizers, with only a few units acting as p-spacers (Lai </w:t>
      </w:r>
      <w:r>
        <w:rPr>
          <w:i/>
          <w:sz w:val="20"/>
          <w:szCs w:val="20"/>
        </w:rPr>
        <w:t>et al.,</w:t>
      </w:r>
      <w:r>
        <w:rPr>
          <w:sz w:val="20"/>
          <w:szCs w:val="20"/>
        </w:rPr>
        <w:t xml:space="preserve"> 2013).</w:t>
      </w:r>
    </w:p>
    <w:p w14:paraId="333152DC">
      <w:pPr>
        <w:jc w:val="both"/>
        <w:rPr>
          <w:sz w:val="20"/>
          <w:szCs w:val="20"/>
        </w:rPr>
      </w:pPr>
      <w:r>
        <w:rPr>
          <w:sz w:val="20"/>
          <w:szCs w:val="20"/>
        </w:rPr>
        <w:t xml:space="preserve">Various indole fused systems, such as indoloquinoxaline (IQ), indolocarbazole, indoloindole, benzothienoindole, indenoindole, triazatruxene, thienoindole, tetraindole, dithienopyrroloindole, fluorenylindolenine, and indole-imidazole, have been explored as building blocks in dye-sensitized solar cells (DSSCs). These systems are investigated both as donors and p-spacers, fitting into diverse molecular architectures. This exploration enables the scientific community to further modify these heterocycles to meet the optoelectronic requirements of photovoltaic applications (Jiang </w:t>
      </w:r>
      <w:r>
        <w:rPr>
          <w:i/>
          <w:sz w:val="20"/>
          <w:szCs w:val="20"/>
        </w:rPr>
        <w:t>et al.,</w:t>
      </w:r>
      <w:r>
        <w:rPr>
          <w:sz w:val="20"/>
          <w:szCs w:val="20"/>
        </w:rPr>
        <w:t xml:space="preserve"> 2011).</w:t>
      </w:r>
    </w:p>
    <w:p w14:paraId="06448DAE">
      <w:pPr>
        <w:jc w:val="both"/>
        <w:rPr>
          <w:sz w:val="20"/>
          <w:szCs w:val="20"/>
        </w:rPr>
      </w:pPr>
      <w:r>
        <w:rPr>
          <w:sz w:val="20"/>
          <w:szCs w:val="20"/>
        </w:rPr>
        <w:t>Many literatures were reported employing indoline moiety as an electron donor for DSSCs.</w:t>
      </w:r>
    </w:p>
    <w:p w14:paraId="0EFBF1D4">
      <w:pPr>
        <w:jc w:val="both"/>
        <w:rPr>
          <w:sz w:val="20"/>
          <w:szCs w:val="20"/>
        </w:rPr>
      </w:pPr>
      <w:r>
        <w:rPr>
          <w:sz w:val="20"/>
          <w:szCs w:val="20"/>
        </w:rPr>
        <w:t>The first reported indoline-based sensitizer achieved a milestone efficiency of 6.1% compared to that of N3 under the same conditions. Introducing a rhodamine unit in the molecular structure of the sensitizer resulted in a novel indoline-based sensitizer D149 with an improved efficiency of 8.0% and good photovoltaic properties (Lee and Yang, 2011).</w:t>
      </w:r>
    </w:p>
    <w:p w14:paraId="72790C88">
      <w:pPr>
        <w:jc w:val="both"/>
        <w:rPr>
          <w:sz w:val="20"/>
          <w:szCs w:val="20"/>
        </w:rPr>
      </w:pPr>
      <w:r>
        <w:rPr>
          <w:sz w:val="20"/>
          <w:szCs w:val="20"/>
        </w:rPr>
        <w:t>The initial application of this framework as a foundational element in Dye-Sensitized Solar Cells (DSSCs) was conducted by Venkatesan</w:t>
      </w:r>
      <w:r>
        <w:rPr>
          <w:i/>
          <w:sz w:val="20"/>
          <w:szCs w:val="20"/>
        </w:rPr>
        <w:t>et al.,</w:t>
      </w:r>
      <w:r>
        <w:rPr>
          <w:sz w:val="20"/>
          <w:szCs w:val="20"/>
        </w:rPr>
        <w:t xml:space="preserve"> (2021) They synthesized some dyes, incorporating indole as an electron donor and cyanoacrylic acid as an anchoring group. The dyes varied in the p-spacer utilized, either phenyl or thiophene fragments. Dye lacking any p-spacer, exhibited the lowest efficiency at 0.86%. Among the remaining dyes, displayed a redshifted and distinct ICT (Intramolecular Charge Transfer) band, suggesting more efficient conjugation. Two different dye baths were employed for device fabrication, one with DCM (Dichloromethane) and the other with a mixture of CH</w:t>
      </w:r>
      <w:r>
        <w:rPr>
          <w:sz w:val="20"/>
          <w:szCs w:val="20"/>
          <w:vertAlign w:val="subscript"/>
        </w:rPr>
        <w:t>3</w:t>
      </w:r>
      <w:r>
        <w:rPr>
          <w:sz w:val="20"/>
          <w:szCs w:val="20"/>
        </w:rPr>
        <w:t>CN (Acetonitrile), tert-butanol, and DMSO (Dimethyl Sulfoxide) (3.5/3.5/3, v/v). All dyes demonstrated higher efficiencies in the latter case. The variations in Power Conversion Efficiency (PCE) were primarily attributed to significant changes in generated photocurrent. Despite the pronounced ICT in the dye, its relatively high planarity likely led to dye aggregation and diminishing light absorption. Dye, featuring a simple thiophene as the p-spacer, outperformed other dyes with a PCE of 3.45%, a Jsc (Short Circuit Current Density) of 9.29 mA cm</w:t>
      </w:r>
      <w:r>
        <w:rPr>
          <w:sz w:val="20"/>
          <w:szCs w:val="20"/>
          <w:vertAlign w:val="superscript"/>
        </w:rPr>
        <w:t>2</w:t>
      </w:r>
      <w:r>
        <w:rPr>
          <w:sz w:val="20"/>
          <w:szCs w:val="20"/>
        </w:rPr>
        <w:t>, and a Voc (Open-Circuit Voltage) of 579 mV. The efficiencies of the other dyes followed the order 6 &gt; 5 &gt; 3 &gt; 4. The introduction of acetylene did not prove advantageous for charge transmission in the current design.</w:t>
      </w:r>
    </w:p>
    <w:p w14:paraId="28E2B84A">
      <w:pPr>
        <w:jc w:val="both"/>
        <w:rPr>
          <w:sz w:val="20"/>
          <w:szCs w:val="20"/>
        </w:rPr>
      </w:pPr>
      <w:r>
        <w:rPr>
          <w:sz w:val="20"/>
          <w:szCs w:val="20"/>
        </w:rPr>
        <w:t xml:space="preserve">Subsequently, Qian </w:t>
      </w:r>
      <w:r>
        <w:rPr>
          <w:i/>
          <w:sz w:val="20"/>
          <w:szCs w:val="20"/>
        </w:rPr>
        <w:t xml:space="preserve">et al., </w:t>
      </w:r>
      <w:r>
        <w:rPr>
          <w:sz w:val="20"/>
          <w:szCs w:val="20"/>
        </w:rPr>
        <w:t>(2010) introduced three D-π-A dyes featuring indolo[2,3-b]quinoxaline as the donor and cyano acrylic acid as the acceptor group. These sensitizers, differ in their choice of conjugated spacers: oligothiophene, thienylcarbazole, and furylcarbazole. Dye with oligothiophene exhibited the highest efficiency at 7.62%, primarily due to its significantly larger short-circuit current density (Jsc = 16 mA cm</w:t>
      </w:r>
      <w:r>
        <w:rPr>
          <w:sz w:val="20"/>
          <w:szCs w:val="20"/>
          <w:vertAlign w:val="superscript"/>
        </w:rPr>
        <w:t>2</w:t>
      </w:r>
      <w:r>
        <w:rPr>
          <w:sz w:val="20"/>
          <w:szCs w:val="20"/>
        </w:rPr>
        <w:t>). The electron-rich oligothiophene p-bridge in the dye resulted in a red-shifted absorption spectrum with an absorption peak at 480 nm for the ICT band, surpassing those of the other dyes. The Incident Photon-to-Current Efficiency (IPCE) performance of the devices correlated with the absorption characteristics of the dyes. Dye with oligothiophene displayed broad absorption ranging from 400 to 770 nm, while the others with thienylcarbazole and furylcarbazole exhibited onsets at 700 nm and 690 nm, respectively, indicating the trend in Jsc and light-harvesting capability. Despite delivering lower current density, dye with furylcarbazole outperformed dye with thienylcarbazole due to its higher open-circuit potential (Voc = 742 mV).</w:t>
      </w:r>
    </w:p>
    <w:p w14:paraId="3696D004">
      <w:pPr>
        <w:jc w:val="both"/>
        <w:rPr>
          <w:sz w:val="20"/>
          <w:szCs w:val="20"/>
        </w:rPr>
        <w:sectPr>
          <w:type w:val="continuous"/>
          <w:pgSz w:w="12240" w:h="15840"/>
          <w:pgMar w:top="1440" w:right="1440" w:bottom="1440" w:left="1440" w:header="720" w:footer="720" w:gutter="0"/>
          <w:cols w:space="227" w:num="2"/>
          <w:docGrid w:linePitch="299" w:charSpace="0"/>
        </w:sectPr>
      </w:pPr>
    </w:p>
    <w:p w14:paraId="52B70564">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911850" cy="2047875"/>
            <wp:effectExtent l="0" t="0" r="0" b="9525"/>
            <wp:docPr id="22" name="Picture 22" descr="C:\Users\surface\Desktop\tetfund\IN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surface\Desktop\tetfund\IND 1.png"/>
                    <pic:cNvPicPr>
                      <a:picLocks noChangeAspect="1" noChangeArrowheads="1"/>
                    </pic:cNvPicPr>
                  </pic:nvPicPr>
                  <pic:blipFill>
                    <a:blip r:embed="rId23">
                      <a:extLst>
                        <a:ext uri="{28A0092B-C50C-407E-A947-70E740481C1C}">
                          <a14:useLocalDpi xmlns:a14="http://schemas.microsoft.com/office/drawing/2010/main" val="0"/>
                        </a:ext>
                      </a:extLst>
                    </a:blip>
                    <a:srcRect l="2598" t="7608" r="14686"/>
                    <a:stretch>
                      <a:fillRect/>
                    </a:stretch>
                  </pic:blipFill>
                  <pic:spPr>
                    <a:xfrm>
                      <a:off x="0" y="0"/>
                      <a:ext cx="5965920" cy="2066605"/>
                    </a:xfrm>
                    <a:prstGeom prst="rect">
                      <a:avLst/>
                    </a:prstGeom>
                    <a:noFill/>
                    <a:ln>
                      <a:noFill/>
                    </a:ln>
                  </pic:spPr>
                </pic:pic>
              </a:graphicData>
            </a:graphic>
          </wp:inline>
        </w:drawing>
      </w:r>
    </w:p>
    <w:p w14:paraId="1CC4C487">
      <w:pPr>
        <w:jc w:val="both"/>
        <w:rPr>
          <w:sz w:val="20"/>
          <w:szCs w:val="20"/>
        </w:rPr>
      </w:pPr>
    </w:p>
    <w:p w14:paraId="5256A24C">
      <w:pPr>
        <w:spacing w:before="240"/>
        <w:ind w:left="720" w:hanging="720"/>
        <w:jc w:val="both"/>
        <w:rPr>
          <w:b/>
          <w:sz w:val="20"/>
          <w:szCs w:val="20"/>
        </w:rPr>
        <w:sectPr>
          <w:type w:val="continuous"/>
          <w:pgSz w:w="12240" w:h="15840"/>
          <w:pgMar w:top="1440" w:right="1440" w:bottom="1440" w:left="1440" w:header="720" w:footer="720" w:gutter="0"/>
          <w:cols w:space="227" w:num="2"/>
          <w:docGrid w:linePitch="299" w:charSpace="0"/>
        </w:sectPr>
      </w:pPr>
    </w:p>
    <w:p w14:paraId="43B43A1F">
      <w:pPr>
        <w:spacing w:before="240"/>
        <w:ind w:left="720" w:hanging="720"/>
        <w:jc w:val="center"/>
        <w:rPr>
          <w:b/>
          <w:sz w:val="20"/>
          <w:szCs w:val="20"/>
        </w:rPr>
      </w:pPr>
      <w:r>
        <mc:AlternateContent>
          <mc:Choice Requires="wps">
            <w:drawing>
              <wp:anchor distT="0" distB="0" distL="114300" distR="114300" simplePos="0" relativeHeight="251680768" behindDoc="0" locked="0" layoutInCell="1" allowOverlap="1">
                <wp:simplePos x="0" y="0"/>
                <wp:positionH relativeFrom="column">
                  <wp:posOffset>5886450</wp:posOffset>
                </wp:positionH>
                <wp:positionV relativeFrom="paragraph">
                  <wp:posOffset>698500</wp:posOffset>
                </wp:positionV>
                <wp:extent cx="495300" cy="316230"/>
                <wp:effectExtent l="0" t="0" r="0" b="0"/>
                <wp:wrapNone/>
                <wp:docPr id="2084707614"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63CC1E8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463.5pt;margin-top:55pt;height:24.9pt;width:39pt;z-index:251680768;mso-width-relative:page;mso-height-relative:page;" filled="f" stroked="f" coordsize="21600,21600" o:gfxdata="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5JuaNoAAAAMAQAADwAAAAAAAAABACAAAAAiAAAAZHJzL2Rvd25yZXYu&#10;eG1sUEsBAhQAFAAAAAgAh07iQMm8kDoyAgAAbQQAAA4AAAAAAAAAAQAgAAAAKQEAAGRycy9lMm9E&#10;b2MueG1sUEsFBgAAAAAGAAYAWQEAAM0FAAAAAA==&#10;">
                <v:fill on="f" focussize="0,0"/>
                <v:stroke on="f" weight="0.5pt"/>
                <v:imagedata o:title=""/>
                <o:lock v:ext="edit" aspectratio="f"/>
                <v:textbox>
                  <w:txbxContent>
                    <w:p w14:paraId="63CC1E8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280</w:t>
                      </w:r>
                    </w:p>
                  </w:txbxContent>
                </v:textbox>
              </v:shape>
            </w:pict>
          </mc:Fallback>
        </mc:AlternateContent>
      </w:r>
      <w:r>
        <w:rPr>
          <w:b/>
          <w:sz w:val="20"/>
          <w:szCs w:val="20"/>
        </w:rPr>
        <w:t xml:space="preserve">Fig 5: Chemical Structures of some Indoline based sensitizers </w:t>
      </w:r>
      <w:r>
        <w:rPr>
          <w:sz w:val="20"/>
          <w:szCs w:val="20"/>
        </w:rPr>
        <w:t>(</w:t>
      </w:r>
      <w:r>
        <w:rPr>
          <w:sz w:val="20"/>
          <w:szCs w:val="20"/>
          <w:shd w:val="clear" w:color="auto" w:fill="FFFFFF"/>
        </w:rPr>
        <w:t xml:space="preserve">Mehmood, </w:t>
      </w:r>
      <w:r>
        <w:rPr>
          <w:i/>
          <w:sz w:val="20"/>
          <w:szCs w:val="20"/>
          <w:shd w:val="clear" w:color="auto" w:fill="FFFFFF"/>
        </w:rPr>
        <w:t>et al</w:t>
      </w:r>
      <w:r>
        <w:rPr>
          <w:sz w:val="20"/>
          <w:szCs w:val="20"/>
          <w:shd w:val="clear" w:color="auto" w:fill="FFFFFF"/>
        </w:rPr>
        <w:t>., (2014).</w:t>
      </w:r>
    </w:p>
    <w:p w14:paraId="609D16B3">
      <w:pPr>
        <w:jc w:val="both"/>
        <w:rPr>
          <w:sz w:val="20"/>
          <w:szCs w:val="20"/>
        </w:rPr>
        <w:sectPr>
          <w:type w:val="continuous"/>
          <w:pgSz w:w="12240" w:h="15840"/>
          <w:pgMar w:top="1440" w:right="1440" w:bottom="1440" w:left="1440" w:header="720" w:footer="720" w:gutter="0"/>
          <w:cols w:space="227" w:num="1"/>
          <w:docGrid w:linePitch="299" w:charSpace="0"/>
        </w:sectPr>
      </w:pPr>
    </w:p>
    <w:p w14:paraId="7426913F">
      <w:pPr>
        <w:jc w:val="both"/>
        <w:rPr>
          <w:sz w:val="20"/>
          <w:szCs w:val="20"/>
        </w:rPr>
      </w:pPr>
      <w:r>
        <w:rPr>
          <w:sz w:val="20"/>
          <w:szCs w:val="20"/>
        </w:rPr>
        <w:t>Shortly afterward, the authors utilized the same framework to develop D–D–p–A and D–p–A systems. In the D–D–p–A design, indoloquinoxaline served as the primary donor, phenothiazine as the auxiliary donor, cyanoacrylic acid as the acceptor, and thiophene/furan as the p-bridge. These dyes were compared with dyesthat are D–p–A dyes based on indoloquinoxaline and phenothiazine as donors, respectively. Among them, dye with thiophene with the D–D–p–A design outperformed the others, exhibiting an efficiency of 8.28%, followed by dye furan with 7.56%. The electron-rich nature of thiophene, compared to furan, facilitated effective ICT transitions, reducing the HOMO–LUMO gap for dye with thiophene. This resulted in a more red-shifted and enhanced absorption spectrum for dye with thiophene compared to the dye with furan as a p-spacer. The IPCE spectra of the dyes displayed a similar trend, with 12 achieving over 60% IPCE value from 359 to 600 nm, with a maximum absorption of 86% at 490 nm. This explains the highest light-harvesting ability and Jsc (15.3 mA cm</w:t>
      </w:r>
      <w:r>
        <w:rPr>
          <w:sz w:val="20"/>
          <w:szCs w:val="20"/>
          <w:vertAlign w:val="superscript"/>
        </w:rPr>
        <w:t>2</w:t>
      </w:r>
      <w:r>
        <w:rPr>
          <w:sz w:val="20"/>
          <w:szCs w:val="20"/>
        </w:rPr>
        <w:t>) for dye with thiophene. The Voc values obtained followed the order 12 &gt; 13 &gt; 11 &gt; 10.</w:t>
      </w:r>
    </w:p>
    <w:p w14:paraId="069F23DD">
      <w:pPr>
        <w:jc w:val="both"/>
        <w:rPr>
          <w:sz w:val="20"/>
          <w:szCs w:val="20"/>
        </w:rPr>
      </w:pPr>
      <w:r>
        <w:rPr>
          <w:sz w:val="20"/>
          <w:szCs w:val="20"/>
        </w:rPr>
        <w:t>In 2017, the authors employed indoloquinoxaline as an acceptor in a (D)2–A–p–A dye design, wherein two triphenylamine groups served as branches of the primary donor unit. Dyes  varied in their p-bridges (furan and thiophene) and acceptor groups (cyanoacrylic acid and 2-(1,1-dicyanomethylene)rhodanine or DCRD). These dyes demonstrated efficiencies ranging from 4.55% to 7.09%. Dyes with furan and thiophene, featuring cyanoacrylic acid as the acceptor group, outperformed their counterparts with DCRD as the acceptor unit.</w:t>
      </w:r>
    </w:p>
    <w:p w14:paraId="222F8012">
      <w:pPr>
        <w:jc w:val="both"/>
        <w:rPr>
          <w:sz w:val="20"/>
          <w:szCs w:val="20"/>
        </w:rPr>
      </w:pPr>
      <w:r>
        <w:rPr>
          <w:sz w:val="20"/>
          <w:szCs w:val="20"/>
        </w:rPr>
        <w:t>Although the absorption spectra of those with two triphenylamine exhibited significant redshifts compared to those with furan and thiophene, the higher dye loading of the latter resulted in larger Jsc values, as evident from the IPCE spectra. Despite the blue-shifted spectra of those with furan and thiophene, with differences of 30 and 20 nm, respectively, compared to the dye with triphenylamine, the increased Jsc value contributed to better PV performance. Dye with furan achieved over 60% IPCE value from 400 to 600 nm, with a maximum of 83% at 450 nm, resulting in a Jsc value of 12.9 mA cm</w:t>
      </w:r>
      <w:r>
        <w:rPr>
          <w:sz w:val="20"/>
          <w:szCs w:val="20"/>
          <w:vertAlign w:val="superscript"/>
        </w:rPr>
        <w:t>2</w:t>
      </w:r>
      <w:r>
        <w:rPr>
          <w:sz w:val="20"/>
          <w:szCs w:val="20"/>
        </w:rPr>
        <w:t>.</w:t>
      </w:r>
    </w:p>
    <w:p w14:paraId="13510184">
      <w:pPr>
        <w:jc w:val="both"/>
        <w:rPr>
          <w:sz w:val="20"/>
          <w:szCs w:val="20"/>
        </w:rPr>
      </w:pPr>
      <w:r>
        <w:rPr>
          <w:sz w:val="20"/>
          <w:szCs w:val="20"/>
        </w:rPr>
        <w:t>When comparing the p-spacers, furan-substituted dyes demonstrated better efficiencies than their thiophene-substituted counterparts. While dye with furan attained a PCE of 7.09% with the highest Jsc and Voc values, dye with thiophene slightly lagged with a power conversion efficiency of 6.05%. DCRD-substituted dyes with two triphenylamine exhibited relatively poor performances, with PCEs of 4.55% and 4.81%, respectively.</w:t>
      </w:r>
    </w:p>
    <w:p w14:paraId="25B3E9AA">
      <w:pPr>
        <w:jc w:val="both"/>
        <w:rPr>
          <w:sz w:val="20"/>
          <w:szCs w:val="20"/>
        </w:rPr>
      </w:pPr>
      <w:r>
        <w:rPr>
          <w:sz w:val="20"/>
          <w:szCs w:val="20"/>
        </w:rPr>
        <w:t>Subsequently, Su and colleagues in 2007 introduced sensitizers based on a novel molecular architecture, D–D/A–p–A, where D/A represents the fused-donor–acceptor unit, indolo[2,3-b]quinoxaline. The impact of additional donors was systematically investigated by incorporating triphenylamine, carbazole, and phenothiazine donors into the indole unit. Enhanced dye loading in devices based on the dyes facilitated effective monolayer formation on the TiO</w:t>
      </w:r>
      <w:r>
        <w:rPr>
          <w:sz w:val="20"/>
          <w:szCs w:val="20"/>
          <w:vertAlign w:val="subscript"/>
        </w:rPr>
        <w:t>2</w:t>
      </w:r>
      <w:r>
        <w:rPr>
          <w:sz w:val="20"/>
          <w:szCs w:val="20"/>
        </w:rPr>
        <w:t xml:space="preserve"> surface, thus mitigating recombination effectively, leading to the highest open-circuit potential for devices. Regarding photocurrent, the inclusion of hexyl chains on the end donors of the dyes and aided in reducing aggregations, contributing to improved Jsc. The highest efficiency was achieved by the dye with hexyl chains (2.72%). Subsequently, these new-generation D–D/A–p–A organic dyes were successfully utilized as co-sensitizers to enhance the Power Conversion Efficiency (PCE) of conventional Ru dye. An increase in open-circuit potential was observed with the co-sensitization approach, likely attributed to improved surface coverage of TiO</w:t>
      </w:r>
      <w:r>
        <w:rPr>
          <w:sz w:val="20"/>
          <w:szCs w:val="20"/>
          <w:vertAlign w:val="subscript"/>
        </w:rPr>
        <w:t>2</w:t>
      </w:r>
      <w:r>
        <w:rPr>
          <w:sz w:val="20"/>
          <w:szCs w:val="20"/>
        </w:rPr>
        <w:t xml:space="preserve">, resulting in reduced aggregation and recombination. </w:t>
      </w:r>
    </w:p>
    <w:p w14:paraId="0217E7E4">
      <w:pPr>
        <w:jc w:val="both"/>
        <w:rPr>
          <w:sz w:val="20"/>
          <w:szCs w:val="20"/>
        </w:rPr>
      </w:pPr>
      <w:r>
        <w:rPr>
          <w:sz w:val="20"/>
          <w:szCs w:val="20"/>
        </w:rPr>
        <w:t>Later, Su and colleagues introduced a di-branched di-anchoring approach to the previous molecular architecture to develop D–D-A–(p–A)2 dyes differing in additional donors between triphenylamine and carbazole. The performance of these dyes was also compared with devices based on hexyl. The di-anchoring approach aided in forming adequate surface coverage, as evidenced by the higher dye loading in these dyes. This could result in an increase in Voc of di-anchored dyes compared to hexyl dye due to reduced recombination. Among the di-anchored dyes, the dye with hexyl chain-incorporated carbazole as the secondary donor, exhibited the highest Voc.</w:t>
      </w:r>
    </w:p>
    <w:p w14:paraId="6A27D417">
      <w:pPr>
        <w:jc w:val="both"/>
        <w:rPr>
          <w:sz w:val="20"/>
          <w:szCs w:val="20"/>
        </w:rPr>
      </w:pPr>
      <w:r>
        <w:rPr>
          <w:sz w:val="20"/>
          <w:szCs w:val="20"/>
        </w:rPr>
        <w:t xml:space="preserve">Dye with hexyl chain performed exceptionally well in terms of photocurrent, contributing to a higher PCE compared to the others. The decrease in light-harvesting efficiency of the other dyes was attributed to the increased dihedral angle and strain induced by the di-anchoring branches. The stronger donating ability of carbazole caused a slightly higher increase in Jsc. </w:t>
      </w:r>
    </w:p>
    <w:p w14:paraId="15007464">
      <w:pPr>
        <w:jc w:val="both"/>
        <w:rPr>
          <w:sz w:val="20"/>
          <w:szCs w:val="20"/>
        </w:rPr>
      </w:pPr>
      <w:r>
        <w:rPr>
          <w:sz w:val="20"/>
          <w:szCs w:val="20"/>
        </w:rPr>
        <w:t>In subsequent research, the p-spacer in the above research was substituted with thiophene from benzene, and the performance of the sensitizers was assessed under full sun illumination. These dyes demonstrated efficiencies in the range of 4.92–5.27%, which surpassed previously reported sensitizers featuring phenyl as a spacer. Dye with triphenylamine as a donor, exhibited the highest PCE of 5.27% with a Voc of 0.67 V and FF of 70.1, alongside an improved Jsc of 11.10 mA cm</w:t>
      </w:r>
      <w:r>
        <w:rPr>
          <w:sz w:val="20"/>
          <w:szCs w:val="20"/>
          <w:vertAlign w:val="superscript"/>
        </w:rPr>
        <w:t>2</w:t>
      </w:r>
      <w:r>
        <w:rPr>
          <w:sz w:val="20"/>
          <w:szCs w:val="20"/>
        </w:rPr>
        <w:t>. Increased dye loading appeared to enhance FF and open-circuit potential for the triphenylamine donor dye.</w:t>
      </w:r>
    </w:p>
    <w:p w14:paraId="4D7DD860">
      <w:pPr>
        <w:jc w:val="both"/>
        <w:rPr>
          <w:sz w:val="20"/>
          <w:szCs w:val="20"/>
        </w:rPr>
      </w:pPr>
      <w:r>
        <mc:AlternateContent>
          <mc:Choice Requires="wps">
            <w:drawing>
              <wp:anchor distT="0" distB="0" distL="114300" distR="114300" simplePos="0" relativeHeight="251681792" behindDoc="0" locked="0" layoutInCell="1" allowOverlap="1">
                <wp:simplePos x="0" y="0"/>
                <wp:positionH relativeFrom="column">
                  <wp:posOffset>2838450</wp:posOffset>
                </wp:positionH>
                <wp:positionV relativeFrom="paragraph">
                  <wp:posOffset>1270000</wp:posOffset>
                </wp:positionV>
                <wp:extent cx="495300" cy="316230"/>
                <wp:effectExtent l="0" t="0" r="0" b="0"/>
                <wp:wrapNone/>
                <wp:docPr id="784575001"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0E63078">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100pt;height:24.9pt;width:39pt;z-index:251681792;mso-width-relative:page;mso-height-relative:page;" filled="f" stroked="f" coordsize="21600,21600" o:gfxdata="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5G7w+9kAAAALAQAADwAAAAAAAAABACAAAAAiAAAAZHJzL2Rvd25yZXYueG1s&#10;UEsBAhQAFAAAAAgAh07iQIX7kW0wAgAAbAQAAA4AAAAAAAAAAQAgAAAAKAEAAGRycy9lMm9Eb2Mu&#10;eG1sUEsFBgAAAAAGAAYAWQEAAMoFAAAAAA==&#10;">
                <v:fill on="f" focussize="0,0"/>
                <v:stroke on="f" weight="0.5pt"/>
                <v:imagedata o:title=""/>
                <o:lock v:ext="edit" aspectratio="f"/>
                <v:textbox>
                  <w:txbxContent>
                    <w:p w14:paraId="30E63078">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281</w:t>
                      </w:r>
                    </w:p>
                  </w:txbxContent>
                </v:textbox>
              </v:shape>
            </w:pict>
          </mc:Fallback>
        </mc:AlternateContent>
      </w:r>
      <w:r>
        <w:rPr>
          <w:sz w:val="20"/>
          <w:szCs w:val="20"/>
        </w:rPr>
        <w:t>From the findings, it is evident that indoloquinoxaline is a promising scaffold for dye sensitizers in DSSCs. The highest efficiency achieved thus far using an IQ-based sensitizer is 8.2%, where the IQ unit and p-spacer (thiophene) are attached to either end of the auxiliary donor (phenothiazine) with cyanoacrylic acid as the acceptor unit. Optimal tuning of auxiliary donors, p-spacers, and alkyl groups in the same architecture could potentially enable sensitizers to achieve more than 10% PCE. However, it is noted that suitable p-spacers for the system may vary depending on the attached donor and the position of the IQ unit (indole/quinoxaline end) to which it is attached. Further studies in this direction of anchoring units offer opportunities for the development of efficient IQ-based devices.</w:t>
      </w:r>
    </w:p>
    <w:p w14:paraId="6FE2AF9E">
      <w:pPr>
        <w:jc w:val="both"/>
        <w:rPr>
          <w:sz w:val="20"/>
          <w:szCs w:val="20"/>
        </w:rPr>
      </w:pPr>
      <w:r>
        <w:rPr>
          <w:sz w:val="20"/>
          <w:szCs w:val="20"/>
        </w:rPr>
        <w:t xml:space="preserve">Zhang </w:t>
      </w:r>
      <w:r>
        <w:rPr>
          <w:i/>
          <w:sz w:val="20"/>
          <w:szCs w:val="20"/>
        </w:rPr>
        <w:t>et al.,</w:t>
      </w:r>
      <w:r>
        <w:rPr>
          <w:sz w:val="20"/>
          <w:szCs w:val="20"/>
        </w:rPr>
        <w:t xml:space="preserve"> (2015) were the first to utilize indolocarbazole as a donor in Dye-Sensitized Solar Cells (DSSCs). They synthesized two dyes differing in the number of thiophene groups incorporated as the p-linker. While a red shift in the absorption profile was observedwith the two thiophene group when adsorbed on TiO</w:t>
      </w:r>
      <w:r>
        <w:rPr>
          <w:sz w:val="20"/>
          <w:szCs w:val="20"/>
          <w:vertAlign w:val="subscript"/>
        </w:rPr>
        <w:t>2</w:t>
      </w:r>
      <w:r>
        <w:rPr>
          <w:sz w:val="20"/>
          <w:szCs w:val="20"/>
        </w:rPr>
        <w:t>, higher electron injection efficiency was obtained for devices sensitized with the one thiophene group. The trade-off between these two factors resulted in slightly higher Short Circuit Current Density (Jsc) for the dye with one thiophene group compared to that with two thiophene unitss. The difference in efficiencies of the two dyes was also influenced by the fill factor (FF). While dye with single thiophene exhibited an ff of 0.67, the larger molecular size of the dye with double thiophene unit led to an ff of 0.62. Consequently, this resulted in a higher Power Conversion Efficiency (PCE) of 7.3% for the dye with single and 6.7% for the dye with double thiophene unit.</w:t>
      </w:r>
    </w:p>
    <w:p w14:paraId="66782AF2">
      <w:pPr>
        <w:jc w:val="both"/>
        <w:rPr>
          <w:sz w:val="20"/>
          <w:szCs w:val="20"/>
        </w:rPr>
      </w:pPr>
      <w:r>
        <w:rPr>
          <w:sz w:val="20"/>
          <w:szCs w:val="20"/>
        </w:rPr>
        <w:t xml:space="preserve">Chai </w:t>
      </w:r>
      <w:r>
        <w:rPr>
          <w:i/>
          <w:sz w:val="20"/>
          <w:szCs w:val="20"/>
        </w:rPr>
        <w:t xml:space="preserve">et al., </w:t>
      </w:r>
      <w:r>
        <w:rPr>
          <w:sz w:val="20"/>
          <w:szCs w:val="20"/>
        </w:rPr>
        <w:t>(2014) designed four dyes based on 5,7-dihexyl-6,12-diphenyl-5,7-dihydroindolo[2,3-b]carbazole (DDC) with benzothiadiazole (or thiophene) and thieno[3,2-b]thiophene (TT) (or thiophene) as the p-spacer and 2-cyanoacrylic acid as an acceptor. Alongside their high electron-donating ability, the fused carbazole systems also contribute to improved p-conjugation, which is advantageous for promoting Intramolecular Charge Transfer (ICT) and photostability. The integration of two phenyl rings on the donor DDC unit, along with alkyl groups on the nitrogen atom, effectively reduced aggregation and enhanced the lifetime of devices fabricated with these dyes. Comparisons were made with carbazole-based D–p–A sensitizer. The molar extinction coefficients of both ICT and p–p transition bands showed significant enhancement indicating improved light-harvesting ability of the new fused conjugated donor.Although the Voc value of  (674 mV) was not very high compared to the ones reported above (768 mV) but it exhibited the highest efficiency of 6.4% among these sensitizers, with a Jsc of 13.96 mA cm</w:t>
      </w:r>
      <w:r>
        <w:rPr>
          <w:sz w:val="20"/>
          <w:szCs w:val="20"/>
          <w:vertAlign w:val="superscript"/>
        </w:rPr>
        <w:t>2</w:t>
      </w:r>
      <w:r>
        <w:rPr>
          <w:sz w:val="20"/>
          <w:szCs w:val="20"/>
        </w:rPr>
        <w:t xml:space="preserve"> and Fill Factor (FF) of 0.68. Photostability evaluation using methods from Katoh and colleagues revealed that the new donor is effective in stabilizing the cation formed after light irradiation compared to the carbazole-based dye. The benzothiadiazole-containing dyes demonstrated more stability, consistent with previous reports. Additionally, it was observed that TT contributed to photostability. The same research group further attempted to introduce a bridge with extended conjugation to broaden the absorption spectra of the indolocarbazole dyes. Among the dyes, the dye which contains benzothiadiazole as an auxiliary acceptor along with alkylated thiophenes flanked on both sides, exhibited the most red-shifted spectra, followed by the one having alkyl-substituted benzothiadiazole as an auxiliary acceptor, and then with a simple D–p–A architecture having ter-thiophene as a spacer. </w:t>
      </w:r>
    </w:p>
    <w:p w14:paraId="2B146B25">
      <w:pPr>
        <w:pStyle w:val="2"/>
        <w:spacing w:before="0"/>
        <w:jc w:val="both"/>
        <w:rPr>
          <w:rFonts w:ascii="Times New Roman" w:hAnsi="Times New Roman" w:cs="Times New Roman"/>
          <w:color w:val="auto"/>
          <w:sz w:val="20"/>
          <w:szCs w:val="20"/>
        </w:rPr>
      </w:pPr>
      <w:bookmarkStart w:id="52" w:name="_Toc177052007"/>
      <w:r>
        <w:rPr>
          <w:rFonts w:ascii="Times New Roman" w:hAnsi="Times New Roman" w:cs="Times New Roman"/>
          <w:color w:val="auto"/>
          <w:sz w:val="20"/>
          <w:szCs w:val="20"/>
        </w:rPr>
        <w:t>Phenothiazine based dyes</w:t>
      </w:r>
      <w:bookmarkEnd w:id="52"/>
    </w:p>
    <w:p w14:paraId="495F2D21">
      <w:pPr>
        <w:jc w:val="both"/>
        <w:rPr>
          <w:sz w:val="20"/>
          <w:szCs w:val="20"/>
        </w:rPr>
      </w:pPr>
      <w:r>
        <w:rPr>
          <w:sz w:val="20"/>
          <w:szCs w:val="20"/>
        </w:rPr>
        <w:t xml:space="preserve">Phenothiazine, a heterocyclic compound with high electron-donating ability and a non-planar conformation, has gained attention as a promising sensitizer for dye-sensitized solar cells (DSSCs). Several strategies have been employed to enhance the performance of phenothiazine-based dyes: In 2007, Sun </w:t>
      </w:r>
      <w:r>
        <w:rPr>
          <w:i/>
          <w:sz w:val="20"/>
          <w:szCs w:val="20"/>
        </w:rPr>
        <w:t>et al.,</w:t>
      </w:r>
      <w:r>
        <w:rPr>
          <w:sz w:val="20"/>
          <w:szCs w:val="20"/>
        </w:rPr>
        <w:t xml:space="preserve"> (2007) reported the first organic sensitizers based on phenothiazine, achieving a notable solar energy-to-electricity conversion efficiency of 5.5%. These sensitizers exhibited simplicity in molecular structure yet showed promising performance comparable to the benchmark Ru-complex (N3 dye). Rau</w:t>
      </w:r>
      <w:r>
        <w:rPr>
          <w:i/>
          <w:sz w:val="20"/>
          <w:szCs w:val="20"/>
        </w:rPr>
        <w:t>et al.,</w:t>
      </w:r>
      <w:r>
        <w:rPr>
          <w:sz w:val="20"/>
          <w:szCs w:val="20"/>
        </w:rPr>
        <w:t xml:space="preserve"> (2001) designed and synthesized novel organic dyes based on the phenothiazine framework with double electron acceptor types (cyanocrylic acid and rhodanine-acetic acid). Dyes with double electron acceptors showed about 20% higher performance compared to single electron acceptor types. Among them, the dye PR6C2 exhibited the highest efficiency of 6.8%. Kilic</w:t>
      </w:r>
      <w:r>
        <w:rPr>
          <w:i/>
          <w:sz w:val="20"/>
          <w:szCs w:val="20"/>
        </w:rPr>
        <w:t>et al.,</w:t>
      </w:r>
      <w:r>
        <w:rPr>
          <w:sz w:val="20"/>
          <w:szCs w:val="20"/>
        </w:rPr>
        <w:t xml:space="preserve"> (2013) designed phenothiazine derivatives with various five-membered heteroaromatic conjugated linkers (furan, thiophene, and 3,4-ethylenedioxythiophene) to study their effect on device performance. Extending the π-conjugated linker led to an enhancement in efficiency, with the highest efficiency of 6.58% achieved by the dye SH-6 with furan as a conjugated linker.</w:t>
      </w:r>
    </w:p>
    <w:p w14:paraId="635317CA">
      <w:pPr>
        <w:jc w:val="both"/>
        <w:rPr>
          <w:sz w:val="20"/>
          <w:szCs w:val="20"/>
        </w:rPr>
      </w:pPr>
      <w:r>
        <w:rPr>
          <w:sz w:val="20"/>
          <w:szCs w:val="20"/>
        </w:rPr>
        <w:t>Studies by Kilic</w:t>
      </w:r>
      <w:r>
        <w:rPr>
          <w:i/>
          <w:sz w:val="20"/>
          <w:szCs w:val="20"/>
        </w:rPr>
        <w:t>et al.,</w:t>
      </w:r>
      <w:r>
        <w:rPr>
          <w:sz w:val="20"/>
          <w:szCs w:val="20"/>
        </w:rPr>
        <w:t xml:space="preserve"> (2013) revealed that the phenothiazine-torsion angle values correlated with the open-circuit voltage (Voc) values in the devices. Increasing the torsion angle reduced molecular aggregation through steric hindrance and improved Voc. Grätzel's group reported novel organic dyes using electron-rich phenothiazine as a donor with/without a vinyl thiophene group as a π-bridge and cyanoacrylic acid as an acceptor. Extending the π-conjugated linker with a vinyl thiophene group significantly enhanced the spectral response of the sensitizer, leading to an improved photocurrent and a power conversion efficiency of 7.3%.</w:t>
      </w:r>
    </w:p>
    <w:p w14:paraId="4A9B4E28">
      <w:pPr>
        <w:jc w:val="both"/>
        <w:rPr>
          <w:sz w:val="20"/>
          <w:szCs w:val="20"/>
        </w:rPr>
        <w:sectPr>
          <w:type w:val="continuous"/>
          <w:pgSz w:w="12240" w:h="15840"/>
          <w:pgMar w:top="1440" w:right="1440" w:bottom="1440" w:left="1440" w:header="720" w:footer="720" w:gutter="0"/>
          <w:cols w:space="227" w:num="2"/>
          <w:docGrid w:linePitch="299" w:charSpace="0"/>
        </w:sectPr>
      </w:pPr>
      <w:r>
        <mc:AlternateContent>
          <mc:Choice Requires="wps">
            <w:drawing>
              <wp:anchor distT="0" distB="0" distL="114300" distR="114300" simplePos="0" relativeHeight="251682816" behindDoc="0" locked="0" layoutInCell="1" allowOverlap="1">
                <wp:simplePos x="0" y="0"/>
                <wp:positionH relativeFrom="column">
                  <wp:posOffset>2832100</wp:posOffset>
                </wp:positionH>
                <wp:positionV relativeFrom="paragraph">
                  <wp:posOffset>946150</wp:posOffset>
                </wp:positionV>
                <wp:extent cx="495300" cy="316230"/>
                <wp:effectExtent l="0" t="0" r="0" b="0"/>
                <wp:wrapNone/>
                <wp:docPr id="1316785057"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4A8119A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pt;margin-top:74.5pt;height:24.9pt;width:39pt;z-index:251682816;mso-width-relative:page;mso-height-relative:page;" filled="f" stroked="f" coordsize="21600,21600" o:gfxdata="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pO0D02gAAAAsBAAAPAAAAAAAAAAEAIAAAACIAAABkcnMvZG93bnJldi54&#10;bWxQSwECFAAUAAAACACHTuJAQ71DjTECAABtBAAADgAAAAAAAAABACAAAAApAQAAZHJzL2Uyb0Rv&#10;Yy54bWxQSwUGAAAAAAYABgBZAQAAzAUAAAAA&#10;">
                <v:fill on="f" focussize="0,0"/>
                <v:stroke on="f" weight="0.5pt"/>
                <v:imagedata o:title=""/>
                <o:lock v:ext="edit" aspectratio="f"/>
                <v:textbox>
                  <w:txbxContent>
                    <w:p w14:paraId="4A8119A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282</w:t>
                      </w:r>
                    </w:p>
                  </w:txbxContent>
                </v:textbox>
              </v:shape>
            </w:pict>
          </mc:Fallback>
        </mc:AlternateContent>
      </w:r>
    </w:p>
    <w:p w14:paraId="43122E38">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943600" cy="4907915"/>
            <wp:effectExtent l="0" t="0" r="0" b="6985"/>
            <wp:docPr id="23" name="Picture 23" descr="C:\Users\surface\Desktop\tetfund\P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surface\Desktop\tetfund\PT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943600" cy="4908396"/>
                    </a:xfrm>
                    <a:prstGeom prst="rect">
                      <a:avLst/>
                    </a:prstGeom>
                    <a:noFill/>
                    <a:ln>
                      <a:noFill/>
                    </a:ln>
                  </pic:spPr>
                </pic:pic>
              </a:graphicData>
            </a:graphic>
          </wp:inline>
        </w:drawing>
      </w:r>
    </w:p>
    <w:p w14:paraId="05C48132">
      <w:pPr>
        <w:jc w:val="both"/>
        <w:rPr>
          <w:sz w:val="20"/>
          <w:szCs w:val="20"/>
        </w:rPr>
      </w:pPr>
    </w:p>
    <w:p w14:paraId="2B840472">
      <w:pPr>
        <w:spacing w:before="240"/>
        <w:ind w:left="720" w:hanging="720"/>
        <w:jc w:val="both"/>
        <w:rPr>
          <w:b/>
          <w:sz w:val="20"/>
          <w:szCs w:val="20"/>
        </w:rPr>
        <w:sectPr>
          <w:type w:val="continuous"/>
          <w:pgSz w:w="12240" w:h="15840"/>
          <w:pgMar w:top="1440" w:right="1440" w:bottom="1440" w:left="1440" w:header="720" w:footer="720" w:gutter="0"/>
          <w:cols w:space="227" w:num="2"/>
          <w:docGrid w:linePitch="299" w:charSpace="0"/>
        </w:sectPr>
      </w:pPr>
    </w:p>
    <w:p w14:paraId="02AB44B0">
      <w:pPr>
        <w:spacing w:before="240"/>
        <w:ind w:left="720" w:hanging="720"/>
        <w:jc w:val="center"/>
        <w:rPr>
          <w:sz w:val="20"/>
          <w:szCs w:val="20"/>
          <w:shd w:val="clear" w:color="auto" w:fill="FFFFFF"/>
        </w:rPr>
        <w:sectPr>
          <w:type w:val="continuous"/>
          <w:pgSz w:w="12240" w:h="15840"/>
          <w:pgMar w:top="1440" w:right="1440" w:bottom="1440" w:left="1440" w:header="720" w:footer="720" w:gutter="0"/>
          <w:cols w:space="227" w:num="1"/>
          <w:docGrid w:linePitch="299" w:charSpace="0"/>
        </w:sectPr>
      </w:pPr>
      <w:r>
        <w:rPr>
          <w:b/>
          <w:sz w:val="20"/>
          <w:szCs w:val="20"/>
        </w:rPr>
        <w:t xml:space="preserve">Fig 6: Chemical Strcutures of some phenothiazine-based sensitizers </w:t>
      </w:r>
      <w:r>
        <w:rPr>
          <w:sz w:val="20"/>
          <w:szCs w:val="20"/>
        </w:rPr>
        <w:t>(</w:t>
      </w:r>
      <w:r>
        <w:rPr>
          <w:sz w:val="20"/>
          <w:szCs w:val="20"/>
          <w:shd w:val="clear" w:color="auto" w:fill="FFFFFF"/>
        </w:rPr>
        <w:t xml:space="preserve">Mehmood, </w:t>
      </w:r>
      <w:r>
        <w:rPr>
          <w:i/>
          <w:sz w:val="20"/>
          <w:szCs w:val="20"/>
          <w:shd w:val="clear" w:color="auto" w:fill="FFFFFF"/>
        </w:rPr>
        <w:t>et al</w:t>
      </w:r>
      <w:r>
        <w:rPr>
          <w:sz w:val="20"/>
          <w:szCs w:val="20"/>
          <w:shd w:val="clear" w:color="auto" w:fill="FFFFFF"/>
        </w:rPr>
        <w:t>.,(2014).</w:t>
      </w:r>
    </w:p>
    <w:p w14:paraId="5E9D025A">
      <w:pPr>
        <w:ind w:left="720" w:hanging="720"/>
        <w:jc w:val="both"/>
        <w:rPr>
          <w:b/>
          <w:sz w:val="20"/>
          <w:szCs w:val="20"/>
        </w:rPr>
      </w:pPr>
      <w:r>
        <w:rPr>
          <w:sz w:val="20"/>
          <w:szCs w:val="20"/>
          <w:shd w:val="clear" w:color="auto" w:fill="FFFFFF"/>
        </w:rPr>
        <w:t xml:space="preserve"> </w:t>
      </w:r>
    </w:p>
    <w:p w14:paraId="48701076">
      <w:pPr>
        <w:jc w:val="both"/>
        <w:rPr>
          <w:sz w:val="20"/>
          <w:szCs w:val="20"/>
        </w:rPr>
      </w:pPr>
      <w:r>
        <w:rPr>
          <w:sz w:val="20"/>
          <w:szCs w:val="20"/>
        </w:rPr>
        <w:t>These strategies highlight the versatility of phenothiazine-based dyes in optimizing the performance of DSSCs by enhancing light absorption, improving charge separation, and mitigating dye aggregation, ultimately leading to higher conversion efficiencies. Kilic and colleagues developed a novel class of organic dyes containing a multi-chromophoric system in a single molecule for use in dye-sensitized solar cells (DSSCs). Each chromophore in these molecules contains a phenothiazine moiety as an electron donor and various electron acceptor/anchor groups. By connecting two individual phenothiazine-based chromophores with an alkyl chain directly, they aimed to investigate the effects of the number and type of electron acceptors on DSSC performance.</w:t>
      </w:r>
    </w:p>
    <w:p w14:paraId="0E344993">
      <w:pPr>
        <w:jc w:val="both"/>
        <w:rPr>
          <w:sz w:val="20"/>
          <w:szCs w:val="20"/>
        </w:rPr>
      </w:pPr>
      <w:r>
        <w:rPr>
          <w:sz w:val="20"/>
          <w:szCs w:val="20"/>
        </w:rPr>
        <w:t>Their findings revealed that the molecular structure with a multi-chromophoric system (DYE4), containing cyanoacrylic acid moieties, provided approximately 10% higher Jsc value compared to single-chromophore counterparts (DYE1). The power conversion efficiency (PCE) of the DSSC based on DYE4 reached 3.4% with a volatile electrolyte under standard AM 1.5 irradiation conditions.</w:t>
      </w:r>
    </w:p>
    <w:p w14:paraId="06F7438E">
      <w:pPr>
        <w:jc w:val="both"/>
        <w:rPr>
          <w:sz w:val="20"/>
          <w:szCs w:val="20"/>
        </w:rPr>
      </w:pPr>
      <w:r>
        <mc:AlternateContent>
          <mc:Choice Requires="wps">
            <w:drawing>
              <wp:anchor distT="0" distB="0" distL="114300" distR="114300" simplePos="0" relativeHeight="251683840" behindDoc="0" locked="0" layoutInCell="1" allowOverlap="1">
                <wp:simplePos x="0" y="0"/>
                <wp:positionH relativeFrom="column">
                  <wp:posOffset>2832100</wp:posOffset>
                </wp:positionH>
                <wp:positionV relativeFrom="paragraph">
                  <wp:posOffset>2336165</wp:posOffset>
                </wp:positionV>
                <wp:extent cx="495300" cy="316230"/>
                <wp:effectExtent l="0" t="0" r="0" b="0"/>
                <wp:wrapNone/>
                <wp:docPr id="1680585501"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1C21A1D">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pt;margin-top:183.95pt;height:24.9pt;width:39pt;z-index:251683840;mso-width-relative:page;mso-height-relative:page;" filled="f" stroked="f" coordsize="21600,21600" o:gfxdata="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RWNs3cAAAACwEAAA8AAAAAAAAAAQAgAAAAIgAAAGRycy9kb3ducmV2&#10;LnhtbFBLAQIUABQAAAAIAIdO4kBoX1ZEMQIAAG0EAAAOAAAAAAAAAAEAIAAAACsBAABkcnMvZTJv&#10;RG9jLnhtbFBLBQYAAAAABgAGAFkBAADOBQAAAAA=&#10;">
                <v:fill on="f" focussize="0,0"/>
                <v:stroke on="f" weight="0.5pt"/>
                <v:imagedata o:title=""/>
                <o:lock v:ext="edit" aspectratio="f"/>
                <v:textbox>
                  <w:txbxContent>
                    <w:p w14:paraId="31C21A1D">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283</w:t>
                      </w:r>
                    </w:p>
                  </w:txbxContent>
                </v:textbox>
              </v:shape>
            </w:pict>
          </mc:Fallback>
        </mc:AlternateContent>
      </w:r>
      <w:r>
        <w:rPr>
          <w:sz w:val="20"/>
          <w:szCs w:val="20"/>
        </w:rPr>
        <w:t>Furthermore, Chu</w:t>
      </w:r>
      <w:r>
        <w:rPr>
          <w:i/>
          <w:sz w:val="20"/>
          <w:szCs w:val="20"/>
        </w:rPr>
        <w:t xml:space="preserve">et al., </w:t>
      </w:r>
      <w:r>
        <w:rPr>
          <w:sz w:val="20"/>
          <w:szCs w:val="20"/>
        </w:rPr>
        <w:t>(2012) designed three simple double donor-acceptor (D-A) branched dyes (DBD) with a phenothiazine unit as an electron donor and a 2-cyanoacrylic acid unit as an electron acceptor for DSSCs. They observed that the molar extinction coefficients of these double D-A branched dyes were nearly twice as high as those of single dyes. Consequently, the DSSCs fabricated by DBD showed enhanced Jsc, Voc, and PCE compared to corresponding single-dye cells. Building upon this finding, they synthesized three phenothiazine-based dyes (DC1-3) bearing two asymmetric double D-π-A chains. An improved PCE of 5.19% was achieved for the DC3-sensitized solar cells under standard global AM 1.5 solar conditions, attributed to its longer electron lifetime and broader and more intensive absorption in the UV-visible region.</w:t>
      </w:r>
    </w:p>
    <w:p w14:paraId="56E74612">
      <w:pPr>
        <w:jc w:val="both"/>
        <w:rPr>
          <w:sz w:val="20"/>
          <w:szCs w:val="20"/>
        </w:rPr>
      </w:pPr>
      <w:r>
        <w:rPr>
          <w:sz w:val="20"/>
          <w:szCs w:val="20"/>
        </w:rPr>
        <w:t xml:space="preserve">These studies highlight the potential of multi-chromophoric phenothiazine-based dyes in enhancing the performance of DSSCs through improved light harvesting and electron transfer efficiency. The efficient design of donor-spacer-acceptor dyes in dye-sensitized solar cells (DSSCs) requires careful consideration of the positioning of the electron donor group on the macrocycle periphery of phenothiazine. Zhu </w:t>
      </w:r>
      <w:r>
        <w:rPr>
          <w:i/>
          <w:sz w:val="20"/>
          <w:szCs w:val="20"/>
        </w:rPr>
        <w:t>et al.,</w:t>
      </w:r>
      <w:r>
        <w:rPr>
          <w:sz w:val="20"/>
          <w:szCs w:val="20"/>
        </w:rPr>
        <w:t xml:space="preserve"> (2015) designed two types of new phenothiazine-based dyes to investigate this issue. In Type 1 molecules, the donor aryl group is appended at the C (7) position, while in Type 2 molecules, it is located at the N(10) position of phenothiazine. The structural features influence the light-harvesting properties and DSSC performance, with Type 1 dyes demonstrating better performance due to enhanced π-conjugation of the chromophore. For instance, the PT1-sensitized DSSC achieved a higher Voc of 0.829 V and a final PCE of 6.72%.</w:t>
      </w:r>
    </w:p>
    <w:p w14:paraId="0178162E">
      <w:pPr>
        <w:jc w:val="both"/>
        <w:rPr>
          <w:sz w:val="20"/>
          <w:szCs w:val="20"/>
        </w:rPr>
      </w:pPr>
      <w:r>
        <w:rPr>
          <w:sz w:val="20"/>
          <w:szCs w:val="20"/>
        </w:rPr>
        <w:t>Terna and co-workers in (2021) explored the effect of different electron donors on the photovoltaic performance of phenothiazine organic dyes. They found that introducing a triphenylamine group as the electron donor improved both photocurrent and photovoltage compared to other donors. The PH2-sensitized DSSCs exhibited the best PCE of 4.41% under AM 1.5 light irradiation, with long-term stability achieved under 1000 hours of light-soaking.</w:t>
      </w:r>
    </w:p>
    <w:p w14:paraId="76F79CED">
      <w:pPr>
        <w:jc w:val="both"/>
        <w:rPr>
          <w:sz w:val="20"/>
          <w:szCs w:val="20"/>
        </w:rPr>
      </w:pPr>
      <w:r>
        <w:rPr>
          <w:sz w:val="20"/>
          <w:szCs w:val="20"/>
        </w:rPr>
        <w:t>In a study of PTZ dyes, Kaur and co-workers (2023) reported a series of polyphenyl-substituted ethylene end-capped phenothiazine dyes for DSSCs. They found that introducing more twisted end-cap structures improved charge collection efficiency, leading to higher Voc values and better performance efficiencies. Further modifications through the introduction of additional electron donors, such as triphenylethylene phenothiazine, also contributed to enhanced photovoltaic performance.</w:t>
      </w:r>
    </w:p>
    <w:p w14:paraId="144C3579">
      <w:pPr>
        <w:jc w:val="both"/>
        <w:rPr>
          <w:sz w:val="20"/>
          <w:szCs w:val="20"/>
        </w:rPr>
      </w:pPr>
      <w:r>
        <w:rPr>
          <w:sz w:val="20"/>
          <w:szCs w:val="20"/>
        </w:rPr>
        <w:t>These findings underscore the importance of structural design in optimizing the performance of phenothiazine-based dyes in DSSCs, with strategies focusing on enhancing light harvesting, charge separation, and charge collection efficiency.</w:t>
      </w:r>
    </w:p>
    <w:p w14:paraId="1A51CCDC">
      <w:pPr>
        <w:jc w:val="both"/>
        <w:rPr>
          <w:sz w:val="20"/>
          <w:szCs w:val="20"/>
        </w:rPr>
        <w:sectPr>
          <w:type w:val="continuous"/>
          <w:pgSz w:w="12240" w:h="15840"/>
          <w:pgMar w:top="1440" w:right="1440" w:bottom="1440" w:left="1440" w:header="720" w:footer="720" w:gutter="0"/>
          <w:cols w:space="227" w:num="2"/>
          <w:docGrid w:linePitch="299" w:charSpace="0"/>
        </w:sectPr>
      </w:pPr>
    </w:p>
    <w:p w14:paraId="4F2CC7D9">
      <w:pPr>
        <w:jc w:val="both"/>
        <w:rPr>
          <w:sz w:val="20"/>
          <w:szCs w:val="20"/>
        </w:rPr>
        <w:sectPr>
          <w:type w:val="continuous"/>
          <w:pgSz w:w="12240" w:h="15840"/>
          <w:pgMar w:top="1440" w:right="1440" w:bottom="1440" w:left="1440" w:header="720" w:footer="720" w:gutter="0"/>
          <w:cols w:space="227" w:num="1"/>
          <w:docGrid w:linePitch="299" w:charSpace="0"/>
        </w:sectPr>
      </w:pPr>
      <w:r>
        <w:rPr>
          <w:sz w:val="20"/>
          <w:szCs w:val="20"/>
          <w:lang w:eastAsia="en-US"/>
        </w:rPr>
        <w:drawing>
          <wp:inline distT="0" distB="0" distL="0" distR="0">
            <wp:extent cx="5993130" cy="4464050"/>
            <wp:effectExtent l="0" t="0" r="7620" b="0"/>
            <wp:docPr id="24" name="Picture 24" descr="C:\Users\surface\Desktop\tetfund\P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surface\Desktop\tetfund\PT2.png"/>
                    <pic:cNvPicPr>
                      <a:picLocks noChangeAspect="1" noChangeArrowheads="1"/>
                    </pic:cNvPicPr>
                  </pic:nvPicPr>
                  <pic:blipFill>
                    <a:blip r:embed="rId25">
                      <a:extLst>
                        <a:ext uri="{28A0092B-C50C-407E-A947-70E740481C1C}">
                          <a14:useLocalDpi xmlns:a14="http://schemas.microsoft.com/office/drawing/2010/main" val="0"/>
                        </a:ext>
                      </a:extLst>
                    </a:blip>
                    <a:srcRect l="1199" t="2570" r="6293" b="1612"/>
                    <a:stretch>
                      <a:fillRect/>
                    </a:stretch>
                  </pic:blipFill>
                  <pic:spPr>
                    <a:xfrm>
                      <a:off x="0" y="0"/>
                      <a:ext cx="6010861" cy="4476793"/>
                    </a:xfrm>
                    <a:prstGeom prst="rect">
                      <a:avLst/>
                    </a:prstGeom>
                    <a:noFill/>
                    <a:ln>
                      <a:noFill/>
                    </a:ln>
                  </pic:spPr>
                </pic:pic>
              </a:graphicData>
            </a:graphic>
          </wp:inline>
        </w:drawing>
      </w:r>
    </w:p>
    <w:p w14:paraId="4AAC2E42">
      <w:pPr>
        <w:jc w:val="both"/>
        <w:rPr>
          <w:sz w:val="20"/>
          <w:szCs w:val="20"/>
        </w:rPr>
      </w:pPr>
    </w:p>
    <w:p w14:paraId="26E20008">
      <w:pPr>
        <w:spacing w:before="240"/>
        <w:ind w:left="720" w:hanging="720"/>
        <w:jc w:val="both"/>
        <w:rPr>
          <w:b/>
          <w:sz w:val="20"/>
          <w:szCs w:val="20"/>
        </w:rPr>
        <w:sectPr>
          <w:type w:val="continuous"/>
          <w:pgSz w:w="12240" w:h="15840"/>
          <w:pgMar w:top="1440" w:right="1440" w:bottom="1440" w:left="1440" w:header="720" w:footer="720" w:gutter="0"/>
          <w:cols w:space="227" w:num="2"/>
          <w:docGrid w:linePitch="299" w:charSpace="0"/>
        </w:sectPr>
      </w:pPr>
    </w:p>
    <w:p w14:paraId="4727E868">
      <w:pPr>
        <w:spacing w:before="240"/>
        <w:ind w:left="720" w:hanging="720"/>
        <w:jc w:val="center"/>
        <w:rPr>
          <w:sz w:val="20"/>
          <w:szCs w:val="20"/>
          <w:shd w:val="clear" w:color="auto" w:fill="FFFFFF"/>
        </w:rPr>
        <w:sectPr>
          <w:type w:val="continuous"/>
          <w:pgSz w:w="12240" w:h="15840"/>
          <w:pgMar w:top="1440" w:right="1440" w:bottom="1440" w:left="1440" w:header="720" w:footer="720" w:gutter="0"/>
          <w:cols w:space="227" w:num="1"/>
          <w:docGrid w:linePitch="299" w:charSpace="0"/>
        </w:sectPr>
      </w:pPr>
      <w:r>
        <mc:AlternateContent>
          <mc:Choice Requires="wps">
            <w:drawing>
              <wp:anchor distT="0" distB="0" distL="114300" distR="114300" simplePos="0" relativeHeight="251684864" behindDoc="0" locked="0" layoutInCell="1" allowOverlap="1">
                <wp:simplePos x="0" y="0"/>
                <wp:positionH relativeFrom="column">
                  <wp:posOffset>5880100</wp:posOffset>
                </wp:positionH>
                <wp:positionV relativeFrom="paragraph">
                  <wp:posOffset>628015</wp:posOffset>
                </wp:positionV>
                <wp:extent cx="495300" cy="316230"/>
                <wp:effectExtent l="0" t="0" r="0" b="0"/>
                <wp:wrapNone/>
                <wp:docPr id="199513875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2FE9227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463pt;margin-top:49.45pt;height:24.9pt;width:39pt;z-index:251684864;mso-width-relative:page;mso-height-relative:page;" filled="f" stroked="f" coordsize="21600,21600" o:gfxdata="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8nMfLbAAAACwEAAA8AAAAAAAAAAQAgAAAAIgAAAGRycy9kb3ducmV2&#10;LnhtbFBLAQIUABQAAAAIAIdO4kBJYvkkMgIAAG0EAAAOAAAAAAAAAAEAIAAAACoBAABkcnMvZTJv&#10;RG9jLnhtbFBLBQYAAAAABgAGAFkBAADOBQAAAAA=&#10;">
                <v:fill on="f" focussize="0,0"/>
                <v:stroke on="f" weight="0.5pt"/>
                <v:imagedata o:title=""/>
                <o:lock v:ext="edit" aspectratio="f"/>
                <v:textbox>
                  <w:txbxContent>
                    <w:p w14:paraId="2FE9227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284</w:t>
                      </w:r>
                    </w:p>
                  </w:txbxContent>
                </v:textbox>
              </v:shape>
            </w:pict>
          </mc:Fallback>
        </mc:AlternateContent>
      </w:r>
      <w:r>
        <w:rPr>
          <w:b/>
          <w:sz w:val="20"/>
          <w:szCs w:val="20"/>
        </w:rPr>
        <w:t>Fig 7: Chemical Strcutures of some phenothiazine-based sensitizers</w:t>
      </w:r>
      <w:r>
        <w:rPr>
          <w:sz w:val="20"/>
          <w:szCs w:val="20"/>
        </w:rPr>
        <w:t xml:space="preserve"> (</w:t>
      </w:r>
      <w:r>
        <w:rPr>
          <w:sz w:val="20"/>
          <w:szCs w:val="20"/>
          <w:shd w:val="clear" w:color="auto" w:fill="FFFFFF"/>
        </w:rPr>
        <w:t xml:space="preserve">Mehmood, </w:t>
      </w:r>
      <w:r>
        <w:rPr>
          <w:i/>
          <w:sz w:val="20"/>
          <w:szCs w:val="20"/>
          <w:shd w:val="clear" w:color="auto" w:fill="FFFFFF"/>
        </w:rPr>
        <w:t>et al</w:t>
      </w:r>
      <w:r>
        <w:rPr>
          <w:sz w:val="20"/>
          <w:szCs w:val="20"/>
          <w:shd w:val="clear" w:color="auto" w:fill="FFFFFF"/>
        </w:rPr>
        <w:t>., (2014)</w:t>
      </w:r>
    </w:p>
    <w:p w14:paraId="4A7788DF">
      <w:pPr>
        <w:ind w:left="720" w:hanging="720"/>
        <w:jc w:val="both"/>
        <w:rPr>
          <w:b/>
          <w:sz w:val="20"/>
          <w:szCs w:val="20"/>
        </w:rPr>
      </w:pPr>
    </w:p>
    <w:p w14:paraId="66CAA641">
      <w:pPr>
        <w:jc w:val="both"/>
        <w:rPr>
          <w:sz w:val="20"/>
          <w:szCs w:val="20"/>
        </w:rPr>
      </w:pPr>
      <w:r>
        <w:rPr>
          <w:sz w:val="20"/>
          <w:szCs w:val="20"/>
        </w:rPr>
        <w:t>Chow and co-workers in (2020) investigated various structural modifications of phenothiazine-based organic sensitizers to optimize their performance in dye-sensitized solar cells (DSSCs). They designed a series of dyes with a triarylamine moiety attached at the C(7) position as an electron donor, a cyanoacrylate moiety at the C(3) position as an electron acceptor, and different substituents (methyl, hexyl, and TPA groups) at the N(10) position of phenothiazine. They found that certain structural features significantly influenced device properties: appending a triarylamine donor moiety at the C(7) position extended the π-conjugation of the chromophore, enhancing the photocurrent response region; adding a hexyl substituent at the N(10) position was more beneficial than a TPA substituent, with the former performing better than the latter; inserting a thiophene moiety between phenothiazine and the acceptor group reduced dye loading and device efficiency. The best-performing dye, NSPt-C6, achieved an overall conversion efficiency of 6.22%.</w:t>
      </w:r>
    </w:p>
    <w:p w14:paraId="07590440">
      <w:pPr>
        <w:jc w:val="both"/>
        <w:rPr>
          <w:sz w:val="20"/>
          <w:szCs w:val="20"/>
        </w:rPr>
      </w:pPr>
      <w:r>
        <w:rPr>
          <w:sz w:val="20"/>
          <w:szCs w:val="20"/>
        </w:rPr>
        <w:t>In another study, Chougala</w:t>
      </w:r>
      <w:r>
        <w:rPr>
          <w:i/>
          <w:sz w:val="20"/>
          <w:szCs w:val="20"/>
        </w:rPr>
        <w:t>et al.,</w:t>
      </w:r>
      <w:r>
        <w:rPr>
          <w:sz w:val="20"/>
          <w:szCs w:val="20"/>
        </w:rPr>
        <w:t xml:space="preserve"> (2017) designed a series of oligo-phenothiazine-based organic dyes where the phenothiazine moiety served as both an electron donor and a π-conjugated bridge. Hexyl and hexyloxyphenyl substituents were added to the N(10) position of phenothiazine. They found that longer dyes limited performance, with the dimer system outperforming trimers. The highest Voc values were obtained with PT2b, reaching 0.83 V, and a conversion efficiency of 7.78% was achieved.</w:t>
      </w:r>
    </w:p>
    <w:p w14:paraId="7D04CFA8">
      <w:pPr>
        <w:jc w:val="both"/>
        <w:rPr>
          <w:sz w:val="20"/>
          <w:szCs w:val="20"/>
        </w:rPr>
      </w:pPr>
      <w:r>
        <w:rPr>
          <w:sz w:val="20"/>
          <w:szCs w:val="20"/>
        </w:rPr>
        <w:t>Recently, Zhou and co-workers (2023) developed a series of simple phenothiazine-based dyes with a cyanoacrylate acceptor attached directly to the C(3) position of phenothiazine. They added an additional linear electron-rich (4-hexyloxy)phenyl group at C(7) and alkyl chains with varying lengths at N(10) of phenothiazine. The dyes showed a linear shape favorable for compact dye layer formation on TiO</w:t>
      </w:r>
      <w:r>
        <w:rPr>
          <w:sz w:val="20"/>
          <w:szCs w:val="20"/>
          <w:vertAlign w:val="subscript"/>
        </w:rPr>
        <w:t>2</w:t>
      </w:r>
      <w:r>
        <w:rPr>
          <w:sz w:val="20"/>
          <w:szCs w:val="20"/>
        </w:rPr>
        <w:t xml:space="preserve"> surfaces. The PT-C6-based DSSC exhibited a conversion efficiency of 8.18%, surpassing the reference N719 under identical conditions.</w:t>
      </w:r>
    </w:p>
    <w:p w14:paraId="3C9F5A04">
      <w:pPr>
        <w:jc w:val="both"/>
        <w:rPr>
          <w:sz w:val="20"/>
          <w:szCs w:val="20"/>
        </w:rPr>
      </w:pPr>
      <w:r>
        <w:rPr>
          <w:sz w:val="20"/>
          <w:szCs w:val="20"/>
        </w:rPr>
        <w:t>These studies underscore the importance of molecular engineering in optimizing phenothiazine-based metal-free organic dyes for highly efficient DSSCs, with strategies focusing on enhancing light harvesting, charge separation, and charge collection efficiency.</w:t>
      </w:r>
    </w:p>
    <w:p w14:paraId="69C5E029">
      <w:pPr>
        <w:jc w:val="both"/>
        <w:rPr>
          <w:b/>
          <w:sz w:val="20"/>
          <w:szCs w:val="20"/>
        </w:rPr>
      </w:pPr>
    </w:p>
    <w:p w14:paraId="484D1A34">
      <w:pPr>
        <w:jc w:val="both"/>
        <w:rPr>
          <w:b/>
          <w:sz w:val="20"/>
          <w:szCs w:val="20"/>
        </w:rPr>
      </w:pPr>
      <w:r>
        <w:rPr>
          <w:b/>
          <w:sz w:val="20"/>
          <w:szCs w:val="20"/>
        </w:rPr>
        <w:t>Carbazole based dyes</w:t>
      </w:r>
    </w:p>
    <w:p w14:paraId="50F3130F">
      <w:pPr>
        <w:jc w:val="both"/>
        <w:rPr>
          <w:sz w:val="20"/>
          <w:szCs w:val="20"/>
        </w:rPr>
      </w:pPr>
      <w:r>
        <w:rPr>
          <w:sz w:val="20"/>
          <w:szCs w:val="20"/>
        </w:rPr>
        <w:t xml:space="preserve">Carbazole is extensively employed for creating organic sensitizers in DSSC due to its electron-rich nature, effective hole transportation capabilities, and remarkable chemical and thermal stability (Naik et al., 2018). Because of its electron-rich characteristics, it is utilized as an auxiliary donor, primary donor, or connecting segment between the acceptor and donor (Venkateswararao and Thomas 2013). </w:t>
      </w:r>
    </w:p>
    <w:p w14:paraId="182EFBF2">
      <w:pPr>
        <w:jc w:val="both"/>
        <w:rPr>
          <w:sz w:val="20"/>
          <w:szCs w:val="20"/>
        </w:rPr>
      </w:pPr>
      <w:r>
        <w:rPr>
          <w:sz w:val="20"/>
          <w:szCs w:val="20"/>
        </w:rPr>
        <w:t>Carbazole can be readily functionalized at the 3, 6, and 9 positions (Sivanadanam et al., 2016). The initial study exploring the utilization of organic dyes relying on Carbazole was published by Koumura et al. in 2006. Numerous Carbazole-based sensitizers have been employed in DSSCs, serving as either a donor or π-linker.</w:t>
      </w:r>
    </w:p>
    <w:p w14:paraId="5D84300E">
      <w:pPr>
        <w:jc w:val="both"/>
        <w:rPr>
          <w:sz w:val="20"/>
          <w:szCs w:val="20"/>
        </w:rPr>
      </w:pPr>
      <w:r>
        <w:rPr>
          <w:sz w:val="20"/>
          <w:szCs w:val="20"/>
        </w:rPr>
        <w:t>Furthermore, researchers have compared the DSSC performance of Carbazole-based dyes with many metal-free dyes based on Phenothiazine and Triphenylamine, Indoline, etc. Additionally, some researchers have synthesized dyes containing Carbazole unit, which is discussed here.</w:t>
      </w:r>
      <w:r>
        <w:rPr>
          <w:sz w:val="20"/>
          <w:szCs w:val="20"/>
        </w:rPr>
        <w:br w:type="textWrapping"/>
      </w:r>
      <w:r>
        <w:rPr>
          <w:sz w:val="20"/>
          <w:szCs w:val="20"/>
        </w:rPr>
        <w:t>Ata</w:t>
      </w:r>
      <w:r>
        <w:rPr>
          <w:i/>
          <w:sz w:val="20"/>
          <w:szCs w:val="20"/>
        </w:rPr>
        <w:t>et al.,</w:t>
      </w:r>
      <w:r>
        <w:rPr>
          <w:sz w:val="20"/>
          <w:szCs w:val="20"/>
        </w:rPr>
        <w:t xml:space="preserve"> (2021)reported four organic dyes featuring a Carbazole donor, cyanoacrylic acid (CA) acceptor, and phenylene ring spacer with various fluorine substitution positions. Fluorine is commonly employed to modulate the optoelectronic properties of organic conjugated materials due to its small size and strong electronegativity. It is observed that the precise location and number of fluorine substitutions are crucial for controlling the optical and electrochemical properties of organic dyes. Fluorine-substituted dye leads to a redshift in the light absorption range and reduces the bandgap. The o-fluoro-substituted dye A exhibited the best dynamics of electron injection. Due to its strong absorption and fast injection rate of an electron, dye A outperformed other dyes with an efficiency of 4.02%. The nonfluorinated dye 1 demonstrated a 3.23% efficiency. Because of the meta-inductive influence, dye B exhibited the least MEC and a lower power conversion efficiency (PCE). </w:t>
      </w:r>
    </w:p>
    <w:p w14:paraId="33346B51">
      <w:pPr>
        <w:jc w:val="both"/>
        <w:rPr>
          <w:sz w:val="20"/>
          <w:szCs w:val="20"/>
        </w:rPr>
      </w:pPr>
      <w:r>
        <w:rPr>
          <w:sz w:val="20"/>
          <w:szCs w:val="20"/>
        </w:rPr>
        <w:t>Jiang</w:t>
      </w:r>
      <w:r>
        <w:rPr>
          <w:i/>
          <w:sz w:val="20"/>
          <w:szCs w:val="20"/>
        </w:rPr>
        <w:t>et al.,</w:t>
      </w:r>
      <w:r>
        <w:rPr>
          <w:sz w:val="20"/>
          <w:szCs w:val="20"/>
        </w:rPr>
        <w:t xml:space="preserve"> (2014) reported two sensitizers featuring a Carbazole donor, a Phenothiazine π-bridge, and rhodanine acetic acid as an acceptor. Conversely, they introduced a benzene π-bridge between the Carbazole donor and Phenothiazine, employing either para- or meta-connection modes (designated as AA and BB, respectively). DSSC devices exhibited a power conversion efficiency (PCE) of 5.57% and 4.56% for dyes featuring para and meta substitutions, respectively. </w:t>
      </w:r>
      <w:r>
        <w:rPr>
          <w:sz w:val="20"/>
          <w:szCs w:val="20"/>
        </w:rPr>
        <w:br w:type="textWrapping"/>
      </w:r>
      <w:r>
        <w:rPr>
          <w:sz w:val="20"/>
          <w:szCs w:val="20"/>
        </w:rPr>
        <w:t xml:space="preserve">Zhang </w:t>
      </w:r>
      <w:r>
        <w:rPr>
          <w:i/>
          <w:sz w:val="20"/>
          <w:szCs w:val="20"/>
        </w:rPr>
        <w:t xml:space="preserve">et al., </w:t>
      </w:r>
      <w:r>
        <w:rPr>
          <w:sz w:val="20"/>
          <w:szCs w:val="20"/>
        </w:rPr>
        <w:t>(2015) synthesized Dye C featuring a Carbazole donor, alkyl-substituted thiophene π-bridges, and Cyano Acetic acid acceptor, and compared it with other dyes containing different donating groups, namely dibenzofuran and dibenzothiophene DD and EE. Dye C exhibited a bathochromic shift in UV absorption spectra compared to dyes DD and EE. Cyclic voltammetry (CV) tests revealed band gaps of 1.86 eV, 1.95 eV, and 1.97 eV for dyes C, DD, and EE, respectively. Dye DD demonstrated a promising PCE of 7.68%, surpassing that of dye C, while dye EE showed a reduced efficiency of 7.18%.</w:t>
      </w:r>
    </w:p>
    <w:p w14:paraId="7D05E148">
      <w:pPr>
        <w:jc w:val="both"/>
        <w:rPr>
          <w:sz w:val="20"/>
          <w:szCs w:val="20"/>
        </w:rPr>
      </w:pPr>
      <w:r>
        <mc:AlternateContent>
          <mc:Choice Requires="wps">
            <w:drawing>
              <wp:anchor distT="0" distB="0" distL="114300" distR="114300" simplePos="0" relativeHeight="251685888" behindDoc="0" locked="0" layoutInCell="1" allowOverlap="1">
                <wp:simplePos x="0" y="0"/>
                <wp:positionH relativeFrom="column">
                  <wp:posOffset>2838450</wp:posOffset>
                </wp:positionH>
                <wp:positionV relativeFrom="paragraph">
                  <wp:posOffset>850265</wp:posOffset>
                </wp:positionV>
                <wp:extent cx="495300" cy="316230"/>
                <wp:effectExtent l="0" t="0" r="0" b="0"/>
                <wp:wrapNone/>
                <wp:docPr id="391509039"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FC6EB0D">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66.95pt;height:24.9pt;width:39pt;z-index:251685888;mso-width-relative:page;mso-height-relative:page;" filled="f" stroked="f" coordsize="21600,21600" o:gfxdata="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7O6QCdsAAAALAQAADwAAAAAAAAABACAAAAAiAAAAZHJzL2Rvd25yZXYu&#10;eG1sUEsBAhQAFAAAAAgAh07iQEymmDAxAgAAbAQAAA4AAAAAAAAAAQAgAAAAKgEAAGRycy9lMm9E&#10;b2MueG1sUEsFBgAAAAAGAAYAWQEAAM0FAAAAAA==&#10;">
                <v:fill on="f" focussize="0,0"/>
                <v:stroke on="f" weight="0.5pt"/>
                <v:imagedata o:title=""/>
                <o:lock v:ext="edit" aspectratio="f"/>
                <v:textbox>
                  <w:txbxContent>
                    <w:p w14:paraId="3FC6EB0D">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285</w:t>
                      </w:r>
                    </w:p>
                  </w:txbxContent>
                </v:textbox>
              </v:shape>
            </w:pict>
          </mc:Fallback>
        </mc:AlternateContent>
      </w:r>
      <w:r>
        <w:rPr>
          <w:sz w:val="20"/>
          <w:szCs w:val="20"/>
        </w:rPr>
        <w:t xml:space="preserve">Saritha </w:t>
      </w:r>
      <w:r>
        <w:rPr>
          <w:i/>
          <w:sz w:val="20"/>
          <w:szCs w:val="20"/>
        </w:rPr>
        <w:t>et al.,</w:t>
      </w:r>
      <w:r>
        <w:rPr>
          <w:sz w:val="20"/>
          <w:szCs w:val="20"/>
        </w:rPr>
        <w:t xml:space="preserve"> (2017) synthesized two dyes, one based on a Carbazole auxiliary donor and Triphenylamine donor (designated as FF), and the other based on a Carbazole auxiliary donor and Carbazole donor (designated as GG), both incorporating Cyano Acetic acid as an acceptor. The design of these dyes aimed to prevent intermolecular π-π stacking, thus avoiding self-quenching of excited states and enhancing performance through efficient electron injection. The addition of Carbazole as an extra donor enhances electron-donating capability and extends the absorption range towards longer wavelengths. However, these dyes have been primarily limited to longer wavelengths in the near-infrared (NIR) region and display a narrow absorption spectrum, which contributes to lower performance. Sensitizers FF and GG exhibited an overall power conversion efficiency (PCE) of 3.12% and 2.63%, respectively.</w:t>
      </w:r>
    </w:p>
    <w:p w14:paraId="65A085B5">
      <w:pPr>
        <w:jc w:val="both"/>
        <w:rPr>
          <w:sz w:val="20"/>
          <w:szCs w:val="20"/>
        </w:rPr>
      </w:pPr>
      <w:r>
        <w:rPr>
          <w:sz w:val="20"/>
          <w:szCs w:val="20"/>
        </w:rPr>
        <w:t>Verma</w:t>
      </w:r>
      <w:r>
        <w:rPr>
          <w:i/>
          <w:sz w:val="20"/>
          <w:szCs w:val="20"/>
        </w:rPr>
        <w:t>et al.,</w:t>
      </w:r>
      <w:r>
        <w:rPr>
          <w:sz w:val="20"/>
          <w:szCs w:val="20"/>
        </w:rPr>
        <w:t xml:space="preserve"> (2020) synthesized a series of new push-pull-based dyes utilizing Carbazole as a π-bridge, Triphenylamine as a donor, and Cyano acetic acid as an acceptor (designated as HH and II), and compared them to a dye with a Triphenylamine π-bridge and donor (designated as JJ). All three dyes demonstrated remarkable photophysical and electrochemical properties, high thermal stability, significant Stokes shift, and sufficient HOMO-LUMO energy levels enabling efficient dye regeneration and electron injection into the conductive band of TiO</w:t>
      </w:r>
      <w:r>
        <w:rPr>
          <w:sz w:val="20"/>
          <w:szCs w:val="20"/>
          <w:vertAlign w:val="subscript"/>
        </w:rPr>
        <w:t>2</w:t>
      </w:r>
      <w:r>
        <w:rPr>
          <w:sz w:val="20"/>
          <w:szCs w:val="20"/>
        </w:rPr>
        <w:t xml:space="preserve"> from the excited state of the dye. Their research highlighted the pivotal role of the Carbazole π-bridge in photovoltaic efficiency, with the carbazole π-bridged conjugated dye HH exhibiting a </w:t>
      </w:r>
      <w:r>
        <w:rPr>
          <w:sz w:val="20"/>
          <w:szCs w:val="20"/>
          <w:u w:val="single"/>
        </w:rPr>
        <w:t>commendable</w:t>
      </w:r>
      <w:r>
        <w:rPr>
          <w:sz w:val="20"/>
          <w:szCs w:val="20"/>
        </w:rPr>
        <w:t xml:space="preserve"> PCE of 1.4% compared to other dyes.</w:t>
      </w:r>
    </w:p>
    <w:p w14:paraId="5A366903">
      <w:pPr>
        <w:jc w:val="both"/>
        <w:rPr>
          <w:sz w:val="20"/>
          <w:szCs w:val="20"/>
        </w:rPr>
      </w:pPr>
      <w:r>
        <w:rPr>
          <w:sz w:val="20"/>
          <w:szCs w:val="20"/>
        </w:rPr>
        <w:t>Sirikant</w:t>
      </w:r>
      <w:r>
        <w:rPr>
          <w:i/>
          <w:sz w:val="20"/>
          <w:szCs w:val="20"/>
        </w:rPr>
        <w:t>et al.,</w:t>
      </w:r>
      <w:r>
        <w:rPr>
          <w:sz w:val="20"/>
          <w:szCs w:val="20"/>
        </w:rPr>
        <w:t xml:space="preserve"> (2020) reported the synthesis of three organic dyes (designated as KK, LL, NN containing the electron donor 9-hexyl-2-(hexyloxy)-9H-carbazole (HHCBZ), while also synthesizing dye MM containing 9-hexyl-9H-carbazole (HCBZ) for comparison. Incorporating the HHCBZ group into triarylamine offers several advantages: (a) a redshift in the absorption peak and an increase in the overall molar extinction coefficient (MEC) of the absorption bands; (b) a reduction in charge recombination in both iodine- and cobalt-based devices; and (c) an enhancement in photovoltage/photocurrent and, consequently, in the power conversion efficiency (PCE). Devices utilizing dye KK exhibited significantly higher efficiencies (8.67% and 7.8% in cobalt and iodine electrolytes, respectively), surpassing those of dyes LL, NN, MM.</w:t>
      </w:r>
    </w:p>
    <w:p w14:paraId="74678662">
      <w:pPr>
        <w:jc w:val="both"/>
        <w:rPr>
          <w:sz w:val="20"/>
          <w:szCs w:val="20"/>
        </w:rPr>
      </w:pPr>
      <w:r>
        <w:rPr>
          <w:sz w:val="20"/>
          <w:szCs w:val="20"/>
        </w:rPr>
        <w:t>Arkan</w:t>
      </w:r>
      <w:r>
        <w:rPr>
          <w:i/>
          <w:sz w:val="20"/>
          <w:szCs w:val="20"/>
        </w:rPr>
        <w:t>et al.,</w:t>
      </w:r>
      <w:r>
        <w:rPr>
          <w:sz w:val="20"/>
          <w:szCs w:val="20"/>
        </w:rPr>
        <w:t xml:space="preserve"> (2024) synthesized a dye featuring a Carbazole donor, rhodanine-3-acetic acid acceptor, and methoxy auxiliary donor (designated as ON), and for comparison, dyes with donors such as Triphenylamine and julolidine were also synthesized (designated as OM and OP, respectively). The electron lifespan at a fixed open-circuit voltage (Voc) decreases in the sequence of donors: julolidine &lt; diphenylamine &lt; Carbazole, which correlates with the ascending sequence of Voc. Transient absorption decreases in the presence of an electrolyte, showing half times of 1.40 μs, 1.98 μs, and 3.81 μs for dyes ON, OM, and OP, respectively. Dye ON exhibits short-circuit photocurrent densities (Jsc) of 11.29 mA cm−2, a Voc of 0.656 V, a fill factor (FF) of 0.728, and a power conversion efficiency (PCE) of 5.40%.</w:t>
      </w:r>
    </w:p>
    <w:p w14:paraId="429B45D4">
      <w:pPr>
        <w:jc w:val="both"/>
        <w:rPr>
          <w:sz w:val="20"/>
          <w:szCs w:val="20"/>
        </w:rPr>
      </w:pPr>
      <w:r>
        <w:rPr>
          <w:sz w:val="20"/>
          <w:szCs w:val="20"/>
        </w:rPr>
        <w:t xml:space="preserve">Mao </w:t>
      </w:r>
      <w:r>
        <w:rPr>
          <w:i/>
          <w:sz w:val="20"/>
          <w:szCs w:val="20"/>
        </w:rPr>
        <w:t>et al.,</w:t>
      </w:r>
      <w:r>
        <w:rPr>
          <w:sz w:val="20"/>
          <w:szCs w:val="20"/>
        </w:rPr>
        <w:t xml:space="preserve"> (2015) synthesized a series of organic dyes based on a quinoline π-linker, all featuring the same acceptor unit (CA) but differing in their donating groups, such as N, N-diethyl OK, 3,6-dimethoxy Carbazole OX, and bis(4-butoxyphenyl)amine OS. Among these dyes, OS exhibited enhanced light-harvesting properties characterized by an expanded conjugate length, red-shifted intramolecular charge transfer (ICT) band absorption, and an improved light-responsive incident photon-to-current conversion efficiency (IPCE) spectrum, resulting in a higher short-circuit current density (Jsc). Additionally, it demonstrated an increased open-circuit voltage (Voc) due to its high charge recombination resistance. Consequently, the unit incorporating dye OS, coupled with iodine redox electrolytes, achieved the highest power conversion efficiency (PCE) of 3.07%.</w:t>
      </w:r>
    </w:p>
    <w:p w14:paraId="59D2A2F7">
      <w:pPr>
        <w:jc w:val="both"/>
        <w:rPr>
          <w:sz w:val="20"/>
          <w:szCs w:val="20"/>
        </w:rPr>
      </w:pPr>
      <w:r>
        <w:rPr>
          <w:sz w:val="20"/>
          <w:szCs w:val="20"/>
        </w:rPr>
        <w:t xml:space="preserve">Dhar </w:t>
      </w:r>
      <w:r>
        <w:rPr>
          <w:i/>
          <w:sz w:val="20"/>
          <w:szCs w:val="20"/>
        </w:rPr>
        <w:t>et al.,</w:t>
      </w:r>
      <w:r>
        <w:rPr>
          <w:sz w:val="20"/>
          <w:szCs w:val="20"/>
        </w:rPr>
        <w:t xml:space="preserve"> (2018) synthesized dyes featuring a dihydropyrrolo-pyrrole-1,4-dione (DPP) bridge coupled with different donor moieties, including Triphenylamine OL, indole OQ, and Carbazole OH, and investigated the impact of these various donors. Among these dyes, the device utilizing dye OH (without coabsorbent) exhibited a higher power conversion efficiency (PCE) of 4.40% compared to others. Furthermore, when dye OH was paired with the coabsorbent CDCA (chenodeoxycholic acid), it demonstrated reduced charge recombination and enhanced photocurrent performance relative to devices based on OL and OQ. Consequently, the DSSC utilizing dye OH achieved a higher open-circuit voltage (Voc) of 0.693 V, short-circuit current density (Jsc) of 10.3 mA cm</w:t>
      </w:r>
      <w:r>
        <w:rPr>
          <w:sz w:val="20"/>
          <w:szCs w:val="20"/>
          <w:vertAlign w:val="superscript"/>
        </w:rPr>
        <w:t>−2</w:t>
      </w:r>
      <w:r>
        <w:rPr>
          <w:sz w:val="20"/>
          <w:szCs w:val="20"/>
        </w:rPr>
        <w:t>, and PCE of 4.44%.</w:t>
      </w:r>
    </w:p>
    <w:p w14:paraId="00C2CC7B">
      <w:pPr>
        <w:jc w:val="both"/>
        <w:rPr>
          <w:sz w:val="20"/>
          <w:szCs w:val="20"/>
        </w:rPr>
      </w:pPr>
      <w:r>
        <w:rPr>
          <w:sz w:val="20"/>
          <w:szCs w:val="20"/>
        </w:rPr>
        <w:t>Nalcakan</w:t>
      </w:r>
      <w:r>
        <w:rPr>
          <w:i/>
          <w:sz w:val="20"/>
          <w:szCs w:val="20"/>
        </w:rPr>
        <w:t>et al.,</w:t>
      </w:r>
      <w:r>
        <w:rPr>
          <w:sz w:val="20"/>
          <w:szCs w:val="20"/>
        </w:rPr>
        <w:t xml:space="preserve"> (2023) introduced three novel dyes (PP, QQ, WW) featuring Carbazole as the donor scaffold, Cyano Acetic acceptor units with a vinylene π-bridge, and a 4-methoxyphenyl unit as an auxiliary donor. Their research indicated that among these three dyes, dye PP exhibited the highest power conversion efficiency (PCE) of 2.20%, attributed to the inclusion of the Cyano Acetic acceptor unit.</w:t>
      </w:r>
    </w:p>
    <w:p w14:paraId="4C2B29A1">
      <w:pPr>
        <w:jc w:val="both"/>
        <w:rPr>
          <w:sz w:val="20"/>
          <w:szCs w:val="20"/>
        </w:rPr>
      </w:pPr>
      <w:r>
        <mc:AlternateContent>
          <mc:Choice Requires="wps">
            <w:drawing>
              <wp:anchor distT="0" distB="0" distL="114300" distR="114300" simplePos="0" relativeHeight="251686912" behindDoc="0" locked="0" layoutInCell="1" allowOverlap="1">
                <wp:simplePos x="0" y="0"/>
                <wp:positionH relativeFrom="column">
                  <wp:posOffset>2844800</wp:posOffset>
                </wp:positionH>
                <wp:positionV relativeFrom="paragraph">
                  <wp:posOffset>2171700</wp:posOffset>
                </wp:positionV>
                <wp:extent cx="495300" cy="316230"/>
                <wp:effectExtent l="0" t="0" r="0" b="0"/>
                <wp:wrapNone/>
                <wp:docPr id="1753023283"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A0C718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pt;margin-top:171pt;height:24.9pt;width:39pt;z-index:251686912;mso-width-relative:page;mso-height-relative:page;" filled="f" stroked="f" coordsize="21600,21600" o:gfxdata="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4fn8rcAAAACwEAAA8AAAAAAAAAAQAgAAAAIgAAAGRycy9kb3ducmV2&#10;LnhtbFBLAQIUABQAAAAIAIdO4kDeu9JvMQIAAG0EAAAOAAAAAAAAAAEAIAAAACsBAABkcnMvZTJv&#10;RG9jLnhtbFBLBQYAAAAABgAGAFkBAADOBQAAAAA=&#10;">
                <v:fill on="f" focussize="0,0"/>
                <v:stroke on="f" weight="0.5pt"/>
                <v:imagedata o:title=""/>
                <o:lock v:ext="edit" aspectratio="f"/>
                <v:textbox>
                  <w:txbxContent>
                    <w:p w14:paraId="3A0C718F">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286</w:t>
                      </w:r>
                    </w:p>
                  </w:txbxContent>
                </v:textbox>
              </v:shape>
            </w:pict>
          </mc:Fallback>
        </mc:AlternateContent>
      </w:r>
      <w:r>
        <w:rPr>
          <w:sz w:val="20"/>
          <w:szCs w:val="20"/>
        </w:rPr>
        <w:t xml:space="preserve">Zhang </w:t>
      </w:r>
      <w:r>
        <w:rPr>
          <w:i/>
          <w:sz w:val="20"/>
          <w:szCs w:val="20"/>
        </w:rPr>
        <w:t>et al.,</w:t>
      </w:r>
      <w:r>
        <w:rPr>
          <w:sz w:val="20"/>
          <w:szCs w:val="20"/>
        </w:rPr>
        <w:t xml:space="preserve"> (2023) synthesized five novel dyes YY, YZ, ZY, ZZ, ZA utilizing CA as an acceptor, a dithieno[3,2-b:2',3'-d]pyrrole (DTP) π-bridge, and either Carbazole or Triphenylamine donors. Their focus was on exploring the effects of spatial frameworks and connection positions within dye-sensitized solar cells (DSSCs). The results indicated that a narrower dihedral angle between the donor group and the bridging arm in the dye molecule led to stronger molar extinction coefficients (MEC) and greater potential for light absorption. Additionally, enhancing the Voc was achieved by incorporating a benzene ring unit into the DTP assembly, rather than an alkyl chain, proving to be an effective method for reducing π-π aggregation of sensitizers on TiO</w:t>
      </w:r>
      <w:r>
        <w:rPr>
          <w:sz w:val="20"/>
          <w:szCs w:val="20"/>
          <w:vertAlign w:val="subscript"/>
        </w:rPr>
        <w:t>2</w:t>
      </w:r>
      <w:r>
        <w:rPr>
          <w:sz w:val="20"/>
          <w:szCs w:val="20"/>
        </w:rPr>
        <w:t xml:space="preserve"> and suppressing charge recombination. Among these dyes, the device based on dye YY achieved a remarkable PCE of 6.63%, with a Jsc of 14.55 mA cm</w:t>
      </w:r>
      <w:r>
        <w:rPr>
          <w:sz w:val="20"/>
          <w:szCs w:val="20"/>
          <w:vertAlign w:val="superscript"/>
        </w:rPr>
        <w:t>−2</w:t>
      </w:r>
      <w:r>
        <w:rPr>
          <w:sz w:val="20"/>
          <w:szCs w:val="20"/>
        </w:rPr>
        <w:t>, Voc of 710 mV, and FF of 0.64.</w:t>
      </w:r>
    </w:p>
    <w:p w14:paraId="2EE8E001">
      <w:pPr>
        <w:pStyle w:val="3"/>
        <w:jc w:val="both"/>
        <w:rPr>
          <w:rFonts w:ascii="Times New Roman" w:hAnsi="Times New Roman" w:eastAsia="Times New Roman" w:cs="Times New Roman"/>
          <w:color w:val="auto"/>
          <w:sz w:val="20"/>
          <w:szCs w:val="20"/>
          <w:lang w:eastAsia="en-US"/>
        </w:rPr>
      </w:pPr>
      <w:r>
        <w:rPr>
          <w:rFonts w:ascii="Times New Roman" w:hAnsi="Times New Roman" w:cs="Times New Roman"/>
          <w:color w:val="auto"/>
          <w:sz w:val="20"/>
          <w:szCs w:val="20"/>
        </w:rPr>
        <w:t>Summary of Major Sensitizer Classes and Their Performance in DSSCs</w:t>
      </w:r>
    </w:p>
    <w:p w14:paraId="36E6557D">
      <w:pPr>
        <w:pStyle w:val="26"/>
        <w:spacing w:before="0" w:beforeAutospacing="0" w:after="0" w:afterAutospacing="0"/>
        <w:jc w:val="both"/>
        <w:rPr>
          <w:sz w:val="20"/>
          <w:szCs w:val="20"/>
        </w:rPr>
      </w:pPr>
      <w:r>
        <w:rPr>
          <w:sz w:val="20"/>
          <w:szCs w:val="20"/>
        </w:rPr>
        <w:t>Table 1 presents a comparative summary of the major sensitizer families employed in dye-sensitized solar cells, highlighting their structural features, advantages, limitations, and representative photovoltaic performances.</w:t>
      </w:r>
    </w:p>
    <w:p w14:paraId="12D748C7">
      <w:pPr>
        <w:jc w:val="both"/>
        <w:rPr>
          <w:sz w:val="20"/>
          <w:szCs w:val="20"/>
        </w:rPr>
        <w:sectPr>
          <w:type w:val="continuous"/>
          <w:pgSz w:w="12240" w:h="15840"/>
          <w:pgMar w:top="1440" w:right="1440" w:bottom="1440" w:left="1440" w:header="720" w:footer="720" w:gutter="0"/>
          <w:cols w:space="227" w:num="2"/>
          <w:docGrid w:linePitch="299" w:charSpace="0"/>
        </w:sectPr>
      </w:pPr>
    </w:p>
    <w:p w14:paraId="3D6A6F0E">
      <w:pPr>
        <w:jc w:val="center"/>
        <w:rPr>
          <w:sz w:val="20"/>
          <w:szCs w:val="20"/>
        </w:rPr>
      </w:pPr>
      <w:r>
        <w:rPr>
          <w:sz w:val="20"/>
          <w:szCs w:val="20"/>
        </w:rPr>
        <w:t>Table 1: Comparative Summary of Sensitizer Classes Used in DSSCs</w:t>
      </w:r>
    </w:p>
    <w:p w14:paraId="62AB9C26">
      <w:pPr>
        <w:jc w:val="center"/>
        <w:rPr>
          <w:b/>
          <w:bCs/>
          <w:sz w:val="20"/>
          <w:szCs w:val="20"/>
          <w:lang w:eastAsia="en-US"/>
        </w:rPr>
        <w:sectPr>
          <w:type w:val="continuous"/>
          <w:pgSz w:w="12240" w:h="15840"/>
          <w:pgMar w:top="1440" w:right="1440" w:bottom="1440" w:left="1440" w:header="720" w:footer="720" w:gutter="0"/>
          <w:cols w:space="227" w:num="1"/>
          <w:docGrid w:linePitch="299" w:charSpace="0"/>
        </w:sectPr>
      </w:pPr>
    </w:p>
    <w:p w14:paraId="680FA560">
      <w:pPr>
        <w:jc w:val="center"/>
        <w:rPr>
          <w:b/>
          <w:bCs/>
          <w:sz w:val="20"/>
          <w:szCs w:val="20"/>
          <w:lang w:eastAsia="en-US"/>
        </w:rPr>
        <w:sectPr>
          <w:type w:val="continuous"/>
          <w:pgSz w:w="12240" w:h="15840"/>
          <w:pgMar w:top="1440" w:right="1440" w:bottom="1440" w:left="1440" w:header="720" w:footer="720" w:gutter="0"/>
          <w:cols w:space="227" w:num="1"/>
          <w:docGrid w:linePitch="299"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1654"/>
        <w:gridCol w:w="2172"/>
        <w:gridCol w:w="1760"/>
        <w:gridCol w:w="934"/>
        <w:gridCol w:w="1426"/>
      </w:tblGrid>
      <w:tr w14:paraId="668F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7335357">
            <w:pPr>
              <w:jc w:val="center"/>
              <w:rPr>
                <w:b/>
                <w:bCs/>
                <w:sz w:val="20"/>
                <w:szCs w:val="20"/>
                <w:lang w:eastAsia="en-US"/>
              </w:rPr>
            </w:pPr>
            <w:r>
              <w:rPr>
                <w:b/>
                <w:bCs/>
                <w:sz w:val="20"/>
                <w:szCs w:val="20"/>
                <w:lang w:eastAsia="en-US"/>
              </w:rPr>
              <w:t>Sensitizer Class</w:t>
            </w:r>
          </w:p>
        </w:tc>
        <w:tc>
          <w:tcPr>
            <w:tcW w:w="0" w:type="auto"/>
          </w:tcPr>
          <w:p w14:paraId="4710EF9F">
            <w:pPr>
              <w:jc w:val="center"/>
              <w:rPr>
                <w:b/>
                <w:bCs/>
                <w:sz w:val="20"/>
                <w:szCs w:val="20"/>
                <w:lang w:eastAsia="en-US"/>
              </w:rPr>
            </w:pPr>
            <w:r>
              <w:rPr>
                <w:b/>
                <w:bCs/>
                <w:sz w:val="20"/>
                <w:szCs w:val="20"/>
                <w:lang w:eastAsia="en-US"/>
              </w:rPr>
              <w:t>Representative Examples</w:t>
            </w:r>
          </w:p>
        </w:tc>
        <w:tc>
          <w:tcPr>
            <w:tcW w:w="0" w:type="auto"/>
          </w:tcPr>
          <w:p w14:paraId="6FC57762">
            <w:pPr>
              <w:jc w:val="center"/>
              <w:rPr>
                <w:b/>
                <w:bCs/>
                <w:sz w:val="20"/>
                <w:szCs w:val="20"/>
                <w:lang w:eastAsia="en-US"/>
              </w:rPr>
            </w:pPr>
            <w:r>
              <w:rPr>
                <w:b/>
                <w:bCs/>
                <w:sz w:val="20"/>
                <w:szCs w:val="20"/>
                <w:lang w:eastAsia="en-US"/>
              </w:rPr>
              <w:t>Key Advantages</w:t>
            </w:r>
          </w:p>
        </w:tc>
        <w:tc>
          <w:tcPr>
            <w:tcW w:w="0" w:type="auto"/>
          </w:tcPr>
          <w:p w14:paraId="0581D587">
            <w:pPr>
              <w:jc w:val="center"/>
              <w:rPr>
                <w:b/>
                <w:bCs/>
                <w:sz w:val="20"/>
                <w:szCs w:val="20"/>
                <w:lang w:eastAsia="en-US"/>
              </w:rPr>
            </w:pPr>
            <w:r>
              <w:rPr>
                <w:b/>
                <w:bCs/>
                <w:sz w:val="20"/>
                <w:szCs w:val="20"/>
                <w:lang w:eastAsia="en-US"/>
              </w:rPr>
              <w:t>Major Limitations</w:t>
            </w:r>
          </w:p>
        </w:tc>
        <w:tc>
          <w:tcPr>
            <w:tcW w:w="0" w:type="auto"/>
          </w:tcPr>
          <w:p w14:paraId="60E9574F">
            <w:pPr>
              <w:jc w:val="center"/>
              <w:rPr>
                <w:b/>
                <w:bCs/>
                <w:sz w:val="20"/>
                <w:szCs w:val="20"/>
                <w:lang w:eastAsia="en-US"/>
              </w:rPr>
            </w:pPr>
            <w:r>
              <w:rPr>
                <w:b/>
                <w:bCs/>
                <w:sz w:val="20"/>
                <w:szCs w:val="20"/>
                <w:lang w:eastAsia="en-US"/>
              </w:rPr>
              <w:t>Typical PCE (%)</w:t>
            </w:r>
          </w:p>
        </w:tc>
        <w:tc>
          <w:tcPr>
            <w:tcW w:w="0" w:type="auto"/>
          </w:tcPr>
          <w:p w14:paraId="72C76589">
            <w:pPr>
              <w:jc w:val="center"/>
              <w:rPr>
                <w:b/>
                <w:bCs/>
                <w:sz w:val="20"/>
                <w:szCs w:val="20"/>
                <w:lang w:eastAsia="en-US"/>
              </w:rPr>
            </w:pPr>
            <w:r>
              <w:rPr>
                <w:b/>
                <w:bCs/>
                <w:sz w:val="20"/>
                <w:szCs w:val="20"/>
                <w:lang w:eastAsia="en-US"/>
              </w:rPr>
              <w:t>References</w:t>
            </w:r>
          </w:p>
        </w:tc>
      </w:tr>
      <w:tr w14:paraId="4264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E7B465D">
            <w:pPr>
              <w:rPr>
                <w:sz w:val="20"/>
                <w:szCs w:val="20"/>
                <w:lang w:eastAsia="en-US"/>
              </w:rPr>
            </w:pPr>
            <w:r>
              <w:rPr>
                <w:sz w:val="20"/>
                <w:szCs w:val="20"/>
                <w:lang w:eastAsia="en-US"/>
              </w:rPr>
              <w:t>Ruthenium Polypyridyl Complexes</w:t>
            </w:r>
          </w:p>
        </w:tc>
        <w:tc>
          <w:tcPr>
            <w:tcW w:w="0" w:type="auto"/>
          </w:tcPr>
          <w:p w14:paraId="7A471B86">
            <w:pPr>
              <w:rPr>
                <w:sz w:val="20"/>
                <w:szCs w:val="20"/>
                <w:lang w:eastAsia="en-US"/>
              </w:rPr>
            </w:pPr>
            <w:r>
              <w:rPr>
                <w:sz w:val="20"/>
                <w:szCs w:val="20"/>
                <w:lang w:eastAsia="en-US"/>
              </w:rPr>
              <w:t>N3, N719, Black Dye, Z907</w:t>
            </w:r>
          </w:p>
        </w:tc>
        <w:tc>
          <w:tcPr>
            <w:tcW w:w="0" w:type="auto"/>
          </w:tcPr>
          <w:p w14:paraId="14F7D74C">
            <w:pPr>
              <w:rPr>
                <w:sz w:val="20"/>
                <w:szCs w:val="20"/>
                <w:lang w:eastAsia="en-US"/>
              </w:rPr>
            </w:pPr>
            <w:r>
              <w:rPr>
                <w:sz w:val="20"/>
                <w:szCs w:val="20"/>
                <w:lang w:eastAsia="en-US"/>
              </w:rPr>
              <w:t>Broad visible-light absorption, excellent charge-transfer properties, long excited-state lifetime, high stability</w:t>
            </w:r>
          </w:p>
        </w:tc>
        <w:tc>
          <w:tcPr>
            <w:tcW w:w="0" w:type="auto"/>
          </w:tcPr>
          <w:p w14:paraId="030B3C94">
            <w:pPr>
              <w:rPr>
                <w:sz w:val="20"/>
                <w:szCs w:val="20"/>
                <w:lang w:eastAsia="en-US"/>
              </w:rPr>
            </w:pPr>
            <w:r>
              <w:rPr>
                <w:sz w:val="20"/>
                <w:szCs w:val="20"/>
                <w:lang w:eastAsia="en-US"/>
              </w:rPr>
              <w:t>High cost, scarcity of Ru, complex synthesis, environmental concerns</w:t>
            </w:r>
          </w:p>
        </w:tc>
        <w:tc>
          <w:tcPr>
            <w:tcW w:w="0" w:type="auto"/>
          </w:tcPr>
          <w:p w14:paraId="611FB58F">
            <w:pPr>
              <w:rPr>
                <w:sz w:val="20"/>
                <w:szCs w:val="20"/>
                <w:lang w:eastAsia="en-US"/>
              </w:rPr>
            </w:pPr>
            <w:r>
              <w:rPr>
                <w:sz w:val="20"/>
                <w:szCs w:val="20"/>
                <w:lang w:eastAsia="en-US"/>
              </w:rPr>
              <w:t>10–12</w:t>
            </w:r>
          </w:p>
        </w:tc>
        <w:tc>
          <w:tcPr>
            <w:tcW w:w="0" w:type="auto"/>
          </w:tcPr>
          <w:p w14:paraId="188506D8">
            <w:pPr>
              <w:rPr>
                <w:sz w:val="20"/>
                <w:szCs w:val="20"/>
                <w:lang w:eastAsia="en-US"/>
              </w:rPr>
            </w:pPr>
            <w:r>
              <w:rPr>
                <w:sz w:val="20"/>
                <w:szCs w:val="20"/>
                <w:lang w:eastAsia="en-US"/>
              </w:rPr>
              <w:t>Nazeeruddin et al., 1993; Grätzel, 2005</w:t>
            </w:r>
          </w:p>
        </w:tc>
      </w:tr>
      <w:tr w14:paraId="27B6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EC74C9E">
            <w:pPr>
              <w:rPr>
                <w:sz w:val="20"/>
                <w:szCs w:val="20"/>
                <w:lang w:eastAsia="en-US"/>
              </w:rPr>
            </w:pPr>
            <w:r>
              <w:rPr>
                <w:sz w:val="20"/>
                <w:szCs w:val="20"/>
                <w:lang w:eastAsia="en-US"/>
              </w:rPr>
              <w:t>Copper-Based Complexes</w:t>
            </w:r>
          </w:p>
        </w:tc>
        <w:tc>
          <w:tcPr>
            <w:tcW w:w="0" w:type="auto"/>
          </w:tcPr>
          <w:p w14:paraId="5ED30EB5">
            <w:pPr>
              <w:rPr>
                <w:sz w:val="20"/>
                <w:szCs w:val="20"/>
                <w:lang w:eastAsia="en-US"/>
              </w:rPr>
            </w:pPr>
            <w:r>
              <w:rPr>
                <w:sz w:val="20"/>
                <w:szCs w:val="20"/>
                <w:lang w:eastAsia="en-US"/>
              </w:rPr>
              <w:t>Cu(I)/Cu(II) Bipyridyl Dyes</w:t>
            </w:r>
          </w:p>
        </w:tc>
        <w:tc>
          <w:tcPr>
            <w:tcW w:w="0" w:type="auto"/>
          </w:tcPr>
          <w:p w14:paraId="61E81044">
            <w:pPr>
              <w:rPr>
                <w:sz w:val="20"/>
                <w:szCs w:val="20"/>
                <w:lang w:eastAsia="en-US"/>
              </w:rPr>
            </w:pPr>
            <w:r>
              <w:rPr>
                <w:sz w:val="20"/>
                <w:szCs w:val="20"/>
                <w:lang w:eastAsia="en-US"/>
              </w:rPr>
              <w:t>Low cost, earth-abundant metal, tunable redox properties</w:t>
            </w:r>
          </w:p>
        </w:tc>
        <w:tc>
          <w:tcPr>
            <w:tcW w:w="0" w:type="auto"/>
          </w:tcPr>
          <w:p w14:paraId="1EC4EABB">
            <w:pPr>
              <w:rPr>
                <w:sz w:val="20"/>
                <w:szCs w:val="20"/>
                <w:lang w:eastAsia="en-US"/>
              </w:rPr>
            </w:pPr>
            <w:r>
              <w:rPr>
                <w:sz w:val="20"/>
                <w:szCs w:val="20"/>
                <w:lang w:eastAsia="en-US"/>
              </w:rPr>
              <w:t>Lower long-term stability compared to Ru dyes</w:t>
            </w:r>
          </w:p>
        </w:tc>
        <w:tc>
          <w:tcPr>
            <w:tcW w:w="0" w:type="auto"/>
          </w:tcPr>
          <w:p w14:paraId="036DBC3D">
            <w:pPr>
              <w:rPr>
                <w:sz w:val="20"/>
                <w:szCs w:val="20"/>
                <w:lang w:eastAsia="en-US"/>
              </w:rPr>
            </w:pPr>
            <w:r>
              <w:rPr>
                <w:sz w:val="20"/>
                <w:szCs w:val="20"/>
                <w:lang w:eastAsia="en-US"/>
              </w:rPr>
              <w:t>8–11</w:t>
            </w:r>
          </w:p>
        </w:tc>
        <w:tc>
          <w:tcPr>
            <w:tcW w:w="0" w:type="auto"/>
          </w:tcPr>
          <w:p w14:paraId="23DB1B65">
            <w:pPr>
              <w:rPr>
                <w:sz w:val="20"/>
                <w:szCs w:val="20"/>
                <w:lang w:eastAsia="en-US"/>
              </w:rPr>
            </w:pPr>
            <w:r>
              <w:rPr>
                <w:sz w:val="20"/>
                <w:szCs w:val="20"/>
                <w:lang w:eastAsia="en-US"/>
              </w:rPr>
              <w:t>Dragonetti et al., 2019</w:t>
            </w:r>
          </w:p>
        </w:tc>
      </w:tr>
      <w:tr w14:paraId="09B0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98E5EE2">
            <w:pPr>
              <w:rPr>
                <w:sz w:val="20"/>
                <w:szCs w:val="20"/>
                <w:lang w:eastAsia="en-US"/>
              </w:rPr>
            </w:pPr>
            <w:r>
              <w:rPr>
                <w:sz w:val="20"/>
                <w:szCs w:val="20"/>
                <w:lang w:eastAsia="en-US"/>
              </w:rPr>
              <w:t>Iron-Based Complexes</w:t>
            </w:r>
          </w:p>
        </w:tc>
        <w:tc>
          <w:tcPr>
            <w:tcW w:w="0" w:type="auto"/>
          </w:tcPr>
          <w:p w14:paraId="55DACF7A">
            <w:pPr>
              <w:rPr>
                <w:sz w:val="20"/>
                <w:szCs w:val="20"/>
                <w:lang w:eastAsia="en-US"/>
              </w:rPr>
            </w:pPr>
            <w:r>
              <w:rPr>
                <w:sz w:val="20"/>
                <w:szCs w:val="20"/>
                <w:lang w:eastAsia="en-US"/>
              </w:rPr>
              <w:t>Fe(II) Polypyridyl Complexes</w:t>
            </w:r>
          </w:p>
        </w:tc>
        <w:tc>
          <w:tcPr>
            <w:tcW w:w="0" w:type="auto"/>
          </w:tcPr>
          <w:p w14:paraId="4656712F">
            <w:pPr>
              <w:rPr>
                <w:sz w:val="20"/>
                <w:szCs w:val="20"/>
                <w:lang w:eastAsia="en-US"/>
              </w:rPr>
            </w:pPr>
            <w:r>
              <w:rPr>
                <w:sz w:val="20"/>
                <w:szCs w:val="20"/>
                <w:lang w:eastAsia="en-US"/>
              </w:rPr>
              <w:t>Abundant, environmentally benign, inexpensive</w:t>
            </w:r>
          </w:p>
        </w:tc>
        <w:tc>
          <w:tcPr>
            <w:tcW w:w="0" w:type="auto"/>
          </w:tcPr>
          <w:p w14:paraId="7D40E732">
            <w:pPr>
              <w:rPr>
                <w:sz w:val="20"/>
                <w:szCs w:val="20"/>
                <w:lang w:eastAsia="en-US"/>
              </w:rPr>
            </w:pPr>
            <w:r>
              <w:rPr>
                <w:sz w:val="20"/>
                <w:szCs w:val="20"/>
                <w:lang w:eastAsia="en-US"/>
              </w:rPr>
              <w:t>Rapid excited-state deactivation, low efficiencies</w:t>
            </w:r>
          </w:p>
        </w:tc>
        <w:tc>
          <w:tcPr>
            <w:tcW w:w="0" w:type="auto"/>
          </w:tcPr>
          <w:p w14:paraId="3DF2622C">
            <w:pPr>
              <w:rPr>
                <w:sz w:val="20"/>
                <w:szCs w:val="20"/>
                <w:lang w:eastAsia="en-US"/>
              </w:rPr>
            </w:pPr>
            <w:r>
              <w:rPr>
                <w:sz w:val="20"/>
                <w:szCs w:val="20"/>
                <w:lang w:eastAsia="en-US"/>
              </w:rPr>
              <w:t>&lt;1</w:t>
            </w:r>
          </w:p>
        </w:tc>
        <w:tc>
          <w:tcPr>
            <w:tcW w:w="0" w:type="auto"/>
          </w:tcPr>
          <w:p w14:paraId="16AD1950">
            <w:pPr>
              <w:rPr>
                <w:sz w:val="20"/>
                <w:szCs w:val="20"/>
                <w:lang w:eastAsia="en-US"/>
              </w:rPr>
            </w:pPr>
            <w:r>
              <w:rPr>
                <w:sz w:val="20"/>
                <w:szCs w:val="20"/>
                <w:lang w:eastAsia="en-US"/>
              </w:rPr>
              <w:t>Canivet and Wisser, 2023</w:t>
            </w:r>
          </w:p>
        </w:tc>
      </w:tr>
      <w:tr w14:paraId="00D7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05D10DC">
            <w:pPr>
              <w:rPr>
                <w:sz w:val="20"/>
                <w:szCs w:val="20"/>
                <w:lang w:eastAsia="en-US"/>
              </w:rPr>
            </w:pPr>
            <w:r>
              <w:rPr>
                <w:sz w:val="20"/>
                <w:szCs w:val="20"/>
                <w:lang w:eastAsia="en-US"/>
              </w:rPr>
              <w:t>Osmium-Based Complexes</w:t>
            </w:r>
          </w:p>
        </w:tc>
        <w:tc>
          <w:tcPr>
            <w:tcW w:w="0" w:type="auto"/>
          </w:tcPr>
          <w:p w14:paraId="6D5CB337">
            <w:pPr>
              <w:rPr>
                <w:sz w:val="20"/>
                <w:szCs w:val="20"/>
                <w:lang w:eastAsia="en-US"/>
              </w:rPr>
            </w:pPr>
            <w:r>
              <w:rPr>
                <w:sz w:val="20"/>
                <w:szCs w:val="20"/>
                <w:lang w:eastAsia="en-US"/>
              </w:rPr>
              <w:t>Os Polypyridyl Dyes</w:t>
            </w:r>
          </w:p>
        </w:tc>
        <w:tc>
          <w:tcPr>
            <w:tcW w:w="0" w:type="auto"/>
          </w:tcPr>
          <w:p w14:paraId="18544962">
            <w:pPr>
              <w:rPr>
                <w:sz w:val="20"/>
                <w:szCs w:val="20"/>
                <w:lang w:eastAsia="en-US"/>
              </w:rPr>
            </w:pPr>
            <w:r>
              <w:rPr>
                <w:sz w:val="20"/>
                <w:szCs w:val="20"/>
                <w:lang w:eastAsia="en-US"/>
              </w:rPr>
              <w:t>Extended absorption into near-IR region</w:t>
            </w:r>
          </w:p>
        </w:tc>
        <w:tc>
          <w:tcPr>
            <w:tcW w:w="0" w:type="auto"/>
          </w:tcPr>
          <w:p w14:paraId="748FE693">
            <w:pPr>
              <w:rPr>
                <w:sz w:val="20"/>
                <w:szCs w:val="20"/>
                <w:lang w:eastAsia="en-US"/>
              </w:rPr>
            </w:pPr>
            <w:r>
              <w:rPr>
                <w:sz w:val="20"/>
                <w:szCs w:val="20"/>
                <w:lang w:eastAsia="en-US"/>
              </w:rPr>
              <w:t>High cost, lower IPCE than Ru dyes</w:t>
            </w:r>
          </w:p>
        </w:tc>
        <w:tc>
          <w:tcPr>
            <w:tcW w:w="0" w:type="auto"/>
          </w:tcPr>
          <w:p w14:paraId="4F8D9B86">
            <w:pPr>
              <w:rPr>
                <w:sz w:val="20"/>
                <w:szCs w:val="20"/>
                <w:lang w:eastAsia="en-US"/>
              </w:rPr>
            </w:pPr>
            <w:r>
              <w:rPr>
                <w:sz w:val="20"/>
                <w:szCs w:val="20"/>
                <w:lang w:eastAsia="en-US"/>
              </w:rPr>
              <w:t>2–5</w:t>
            </w:r>
          </w:p>
        </w:tc>
        <w:tc>
          <w:tcPr>
            <w:tcW w:w="0" w:type="auto"/>
          </w:tcPr>
          <w:p w14:paraId="069442EB">
            <w:pPr>
              <w:rPr>
                <w:sz w:val="20"/>
                <w:szCs w:val="20"/>
                <w:lang w:eastAsia="en-US"/>
              </w:rPr>
            </w:pPr>
            <w:r>
              <w:rPr>
                <w:sz w:val="20"/>
                <w:szCs w:val="20"/>
                <w:lang w:eastAsia="en-US"/>
              </w:rPr>
              <w:t>Onicha, 2010</w:t>
            </w:r>
          </w:p>
        </w:tc>
      </w:tr>
      <w:tr w14:paraId="7A4C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4ACD36D">
            <w:pPr>
              <w:rPr>
                <w:sz w:val="20"/>
                <w:szCs w:val="20"/>
                <w:lang w:eastAsia="en-US"/>
              </w:rPr>
            </w:pPr>
            <w:r>
              <w:rPr>
                <w:sz w:val="20"/>
                <w:szCs w:val="20"/>
                <w:lang w:eastAsia="en-US"/>
              </w:rPr>
              <w:t>Triphenylamine (TPA) Dyes</w:t>
            </w:r>
          </w:p>
        </w:tc>
        <w:tc>
          <w:tcPr>
            <w:tcW w:w="0" w:type="auto"/>
          </w:tcPr>
          <w:p w14:paraId="2537E5CD">
            <w:pPr>
              <w:rPr>
                <w:sz w:val="20"/>
                <w:szCs w:val="20"/>
                <w:lang w:eastAsia="en-US"/>
              </w:rPr>
            </w:pPr>
            <w:r>
              <w:rPr>
                <w:sz w:val="20"/>
                <w:szCs w:val="20"/>
                <w:lang w:eastAsia="en-US"/>
              </w:rPr>
              <w:t>C219, JK2, TPA Series</w:t>
            </w:r>
          </w:p>
        </w:tc>
        <w:tc>
          <w:tcPr>
            <w:tcW w:w="0" w:type="auto"/>
          </w:tcPr>
          <w:p w14:paraId="6C77A962">
            <w:pPr>
              <w:rPr>
                <w:sz w:val="20"/>
                <w:szCs w:val="20"/>
                <w:lang w:eastAsia="en-US"/>
              </w:rPr>
            </w:pPr>
            <w:r>
              <w:rPr>
                <w:sz w:val="20"/>
                <w:szCs w:val="20"/>
                <w:lang w:eastAsia="en-US"/>
              </w:rPr>
              <w:t>High molar extinction coefficient, tunable structure, low cost</w:t>
            </w:r>
          </w:p>
        </w:tc>
        <w:tc>
          <w:tcPr>
            <w:tcW w:w="0" w:type="auto"/>
          </w:tcPr>
          <w:p w14:paraId="45AA127B">
            <w:pPr>
              <w:rPr>
                <w:sz w:val="20"/>
                <w:szCs w:val="20"/>
                <w:lang w:eastAsia="en-US"/>
              </w:rPr>
            </w:pPr>
            <w:r>
              <w:rPr>
                <w:sz w:val="20"/>
                <w:szCs w:val="20"/>
                <w:lang w:eastAsia="en-US"/>
              </w:rPr>
              <w:t>Aggregation tendency, stability concerns</w:t>
            </w:r>
          </w:p>
        </w:tc>
        <w:tc>
          <w:tcPr>
            <w:tcW w:w="0" w:type="auto"/>
          </w:tcPr>
          <w:p w14:paraId="2893D885">
            <w:pPr>
              <w:rPr>
                <w:sz w:val="20"/>
                <w:szCs w:val="20"/>
                <w:lang w:eastAsia="en-US"/>
              </w:rPr>
            </w:pPr>
            <w:r>
              <w:rPr>
                <w:sz w:val="20"/>
                <w:szCs w:val="20"/>
                <w:lang w:eastAsia="en-US"/>
              </w:rPr>
              <w:t>6–10.3</w:t>
            </w:r>
          </w:p>
        </w:tc>
        <w:tc>
          <w:tcPr>
            <w:tcW w:w="0" w:type="auto"/>
          </w:tcPr>
          <w:p w14:paraId="4AE62601">
            <w:pPr>
              <w:rPr>
                <w:sz w:val="20"/>
                <w:szCs w:val="20"/>
                <w:lang w:eastAsia="en-US"/>
              </w:rPr>
            </w:pPr>
            <w:r>
              <w:rPr>
                <w:sz w:val="20"/>
                <w:szCs w:val="20"/>
                <w:lang w:eastAsia="en-US"/>
              </w:rPr>
              <w:t>Kim et al., 2008; Zeng et al., 2011</w:t>
            </w:r>
          </w:p>
        </w:tc>
      </w:tr>
      <w:tr w14:paraId="482A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D41870">
            <w:pPr>
              <w:rPr>
                <w:sz w:val="20"/>
                <w:szCs w:val="20"/>
                <w:lang w:eastAsia="en-US"/>
              </w:rPr>
            </w:pPr>
            <w:r>
              <w:rPr>
                <w:sz w:val="20"/>
                <w:szCs w:val="20"/>
                <w:lang w:eastAsia="en-US"/>
              </w:rPr>
              <w:t>Indoline Dyes</w:t>
            </w:r>
          </w:p>
        </w:tc>
        <w:tc>
          <w:tcPr>
            <w:tcW w:w="0" w:type="auto"/>
          </w:tcPr>
          <w:p w14:paraId="70BA659D">
            <w:pPr>
              <w:rPr>
                <w:sz w:val="20"/>
                <w:szCs w:val="20"/>
                <w:lang w:eastAsia="en-US"/>
              </w:rPr>
            </w:pPr>
            <w:r>
              <w:rPr>
                <w:sz w:val="20"/>
                <w:szCs w:val="20"/>
                <w:lang w:eastAsia="en-US"/>
              </w:rPr>
              <w:t>D149, D102</w:t>
            </w:r>
          </w:p>
        </w:tc>
        <w:tc>
          <w:tcPr>
            <w:tcW w:w="0" w:type="auto"/>
          </w:tcPr>
          <w:p w14:paraId="39D92BA6">
            <w:pPr>
              <w:rPr>
                <w:sz w:val="20"/>
                <w:szCs w:val="20"/>
                <w:lang w:eastAsia="en-US"/>
              </w:rPr>
            </w:pPr>
            <w:r>
              <w:rPr>
                <w:sz w:val="20"/>
                <w:szCs w:val="20"/>
                <w:lang w:eastAsia="en-US"/>
              </w:rPr>
              <w:t>Strong visible-light absorption, high electron-donating ability</w:t>
            </w:r>
          </w:p>
        </w:tc>
        <w:tc>
          <w:tcPr>
            <w:tcW w:w="0" w:type="auto"/>
          </w:tcPr>
          <w:p w14:paraId="5B6C63A2">
            <w:pPr>
              <w:rPr>
                <w:sz w:val="20"/>
                <w:szCs w:val="20"/>
                <w:lang w:eastAsia="en-US"/>
              </w:rPr>
            </w:pPr>
            <w:r>
              <w:rPr>
                <w:sz w:val="20"/>
                <w:szCs w:val="20"/>
                <w:lang w:eastAsia="en-US"/>
              </w:rPr>
              <w:t>Dye aggregation and degradation under prolonged illumination</w:t>
            </w:r>
          </w:p>
        </w:tc>
        <w:tc>
          <w:tcPr>
            <w:tcW w:w="0" w:type="auto"/>
          </w:tcPr>
          <w:p w14:paraId="68372001">
            <w:pPr>
              <w:rPr>
                <w:sz w:val="20"/>
                <w:szCs w:val="20"/>
                <w:lang w:eastAsia="en-US"/>
              </w:rPr>
            </w:pPr>
            <w:r>
              <w:rPr>
                <w:sz w:val="20"/>
                <w:szCs w:val="20"/>
                <w:lang w:eastAsia="en-US"/>
              </w:rPr>
              <w:t>6–9</w:t>
            </w:r>
          </w:p>
        </w:tc>
        <w:tc>
          <w:tcPr>
            <w:tcW w:w="0" w:type="auto"/>
          </w:tcPr>
          <w:p w14:paraId="25D3C49F">
            <w:pPr>
              <w:rPr>
                <w:sz w:val="20"/>
                <w:szCs w:val="20"/>
                <w:lang w:eastAsia="en-US"/>
              </w:rPr>
            </w:pPr>
            <w:r>
              <w:rPr>
                <w:sz w:val="20"/>
                <w:szCs w:val="20"/>
                <w:lang w:eastAsia="en-US"/>
              </w:rPr>
              <w:t>Lee and Yang, 2011</w:t>
            </w:r>
          </w:p>
        </w:tc>
      </w:tr>
      <w:tr w14:paraId="05BE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ABCC091">
            <w:pPr>
              <w:rPr>
                <w:sz w:val="20"/>
                <w:szCs w:val="20"/>
                <w:lang w:eastAsia="en-US"/>
              </w:rPr>
            </w:pPr>
            <w:r>
              <w:rPr>
                <w:sz w:val="20"/>
                <w:szCs w:val="20"/>
                <w:lang w:eastAsia="en-US"/>
              </w:rPr>
              <w:t>Coumarin Dyes</w:t>
            </w:r>
          </w:p>
        </w:tc>
        <w:tc>
          <w:tcPr>
            <w:tcW w:w="0" w:type="auto"/>
          </w:tcPr>
          <w:p w14:paraId="26343F2A">
            <w:pPr>
              <w:rPr>
                <w:sz w:val="20"/>
                <w:szCs w:val="20"/>
                <w:lang w:eastAsia="en-US"/>
              </w:rPr>
            </w:pPr>
            <w:r>
              <w:rPr>
                <w:sz w:val="20"/>
                <w:szCs w:val="20"/>
                <w:lang w:eastAsia="en-US"/>
              </w:rPr>
              <w:t>NKX Series</w:t>
            </w:r>
          </w:p>
        </w:tc>
        <w:tc>
          <w:tcPr>
            <w:tcW w:w="0" w:type="auto"/>
          </w:tcPr>
          <w:p w14:paraId="3D67E27C">
            <w:pPr>
              <w:rPr>
                <w:sz w:val="20"/>
                <w:szCs w:val="20"/>
                <w:lang w:eastAsia="en-US"/>
              </w:rPr>
            </w:pPr>
            <w:r>
              <w:rPr>
                <w:sz w:val="20"/>
                <w:szCs w:val="20"/>
                <w:lang w:eastAsia="en-US"/>
              </w:rPr>
              <w:t>High absorption coefficients, facile synthesis</w:t>
            </w:r>
          </w:p>
        </w:tc>
        <w:tc>
          <w:tcPr>
            <w:tcW w:w="0" w:type="auto"/>
          </w:tcPr>
          <w:p w14:paraId="556879AD">
            <w:pPr>
              <w:rPr>
                <w:sz w:val="20"/>
                <w:szCs w:val="20"/>
                <w:lang w:eastAsia="en-US"/>
              </w:rPr>
            </w:pPr>
            <w:r>
              <w:rPr>
                <w:sz w:val="20"/>
                <w:szCs w:val="20"/>
                <w:lang w:eastAsia="en-US"/>
              </w:rPr>
              <w:t>Narrow absorption range</w:t>
            </w:r>
          </w:p>
        </w:tc>
        <w:tc>
          <w:tcPr>
            <w:tcW w:w="0" w:type="auto"/>
          </w:tcPr>
          <w:p w14:paraId="2410B864">
            <w:pPr>
              <w:rPr>
                <w:sz w:val="20"/>
                <w:szCs w:val="20"/>
                <w:lang w:eastAsia="en-US"/>
              </w:rPr>
            </w:pPr>
            <w:r>
              <w:rPr>
                <w:sz w:val="20"/>
                <w:szCs w:val="20"/>
                <w:lang w:eastAsia="en-US"/>
              </w:rPr>
              <w:t>5–9</w:t>
            </w:r>
          </w:p>
        </w:tc>
        <w:tc>
          <w:tcPr>
            <w:tcW w:w="0" w:type="auto"/>
          </w:tcPr>
          <w:p w14:paraId="307EA64D">
            <w:pPr>
              <w:rPr>
                <w:sz w:val="20"/>
                <w:szCs w:val="20"/>
                <w:lang w:eastAsia="en-US"/>
              </w:rPr>
            </w:pPr>
            <w:r>
              <w:rPr>
                <w:sz w:val="20"/>
                <w:szCs w:val="20"/>
                <w:lang w:eastAsia="en-US"/>
              </w:rPr>
              <w:t>Kumbar et al., 2018</w:t>
            </w:r>
          </w:p>
        </w:tc>
      </w:tr>
      <w:tr w14:paraId="1E70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E149D1D">
            <w:pPr>
              <w:rPr>
                <w:sz w:val="20"/>
                <w:szCs w:val="20"/>
                <w:lang w:eastAsia="en-US"/>
              </w:rPr>
            </w:pPr>
            <w:r>
              <w:rPr>
                <w:sz w:val="20"/>
                <w:szCs w:val="20"/>
                <w:lang w:eastAsia="en-US"/>
              </w:rPr>
              <w:t>Carbazole Dyes</w:t>
            </w:r>
          </w:p>
        </w:tc>
        <w:tc>
          <w:tcPr>
            <w:tcW w:w="0" w:type="auto"/>
          </w:tcPr>
          <w:p w14:paraId="77DC5525">
            <w:pPr>
              <w:rPr>
                <w:sz w:val="20"/>
                <w:szCs w:val="20"/>
                <w:lang w:eastAsia="en-US"/>
              </w:rPr>
            </w:pPr>
            <w:r>
              <w:rPr>
                <w:sz w:val="20"/>
                <w:szCs w:val="20"/>
                <w:lang w:eastAsia="en-US"/>
              </w:rPr>
              <w:t>Carbazole D–π–A Dyes</w:t>
            </w:r>
          </w:p>
        </w:tc>
        <w:tc>
          <w:tcPr>
            <w:tcW w:w="0" w:type="auto"/>
          </w:tcPr>
          <w:p w14:paraId="5ABB7722">
            <w:pPr>
              <w:rPr>
                <w:sz w:val="20"/>
                <w:szCs w:val="20"/>
                <w:lang w:eastAsia="en-US"/>
              </w:rPr>
            </w:pPr>
            <w:r>
              <w:rPr>
                <w:sz w:val="20"/>
                <w:szCs w:val="20"/>
                <w:lang w:eastAsia="en-US"/>
              </w:rPr>
              <w:t>Good thermal stability and electron-donating properties</w:t>
            </w:r>
          </w:p>
        </w:tc>
        <w:tc>
          <w:tcPr>
            <w:tcW w:w="0" w:type="auto"/>
          </w:tcPr>
          <w:p w14:paraId="64D63595">
            <w:pPr>
              <w:rPr>
                <w:sz w:val="20"/>
                <w:szCs w:val="20"/>
                <w:lang w:eastAsia="en-US"/>
              </w:rPr>
            </w:pPr>
            <w:r>
              <w:rPr>
                <w:sz w:val="20"/>
                <w:szCs w:val="20"/>
                <w:lang w:eastAsia="en-US"/>
              </w:rPr>
              <w:t>Limited near-IR absorption</w:t>
            </w:r>
          </w:p>
        </w:tc>
        <w:tc>
          <w:tcPr>
            <w:tcW w:w="0" w:type="auto"/>
          </w:tcPr>
          <w:p w14:paraId="08D273FE">
            <w:pPr>
              <w:rPr>
                <w:sz w:val="20"/>
                <w:szCs w:val="20"/>
                <w:lang w:eastAsia="en-US"/>
              </w:rPr>
            </w:pPr>
            <w:r>
              <w:rPr>
                <w:sz w:val="20"/>
                <w:szCs w:val="20"/>
                <w:lang w:eastAsia="en-US"/>
              </w:rPr>
              <w:t>5–8</w:t>
            </w:r>
          </w:p>
        </w:tc>
        <w:tc>
          <w:tcPr>
            <w:tcW w:w="0" w:type="auto"/>
          </w:tcPr>
          <w:p w14:paraId="0CB8891B">
            <w:pPr>
              <w:rPr>
                <w:sz w:val="20"/>
                <w:szCs w:val="20"/>
                <w:lang w:eastAsia="en-US"/>
              </w:rPr>
            </w:pPr>
            <w:r>
              <w:rPr>
                <w:sz w:val="20"/>
                <w:szCs w:val="20"/>
                <w:lang w:eastAsia="en-US"/>
              </w:rPr>
              <w:t>Abusaif et al., 2021</w:t>
            </w:r>
          </w:p>
        </w:tc>
      </w:tr>
      <w:tr w14:paraId="07F3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C5C2407">
            <w:pPr>
              <w:rPr>
                <w:sz w:val="20"/>
                <w:szCs w:val="20"/>
                <w:lang w:eastAsia="en-US"/>
              </w:rPr>
            </w:pPr>
            <w:r>
              <w:rPr>
                <w:sz w:val="20"/>
                <w:szCs w:val="20"/>
                <w:lang w:eastAsia="en-US"/>
              </w:rPr>
              <w:t>Phthalocyanine Dyes</w:t>
            </w:r>
          </w:p>
        </w:tc>
        <w:tc>
          <w:tcPr>
            <w:tcW w:w="0" w:type="auto"/>
          </w:tcPr>
          <w:p w14:paraId="55DF0CE3">
            <w:pPr>
              <w:rPr>
                <w:sz w:val="20"/>
                <w:szCs w:val="20"/>
                <w:lang w:eastAsia="en-US"/>
              </w:rPr>
            </w:pPr>
            <w:r>
              <w:rPr>
                <w:sz w:val="20"/>
                <w:szCs w:val="20"/>
                <w:lang w:eastAsia="en-US"/>
              </w:rPr>
              <w:t>ZnPc Derivatives</w:t>
            </w:r>
          </w:p>
        </w:tc>
        <w:tc>
          <w:tcPr>
            <w:tcW w:w="0" w:type="auto"/>
          </w:tcPr>
          <w:p w14:paraId="68FE5354">
            <w:pPr>
              <w:rPr>
                <w:sz w:val="20"/>
                <w:szCs w:val="20"/>
                <w:lang w:eastAsia="en-US"/>
              </w:rPr>
            </w:pPr>
            <w:r>
              <w:rPr>
                <w:sz w:val="20"/>
                <w:szCs w:val="20"/>
                <w:lang w:eastAsia="en-US"/>
              </w:rPr>
              <w:t>Strong absorption in red and near-IR regions</w:t>
            </w:r>
          </w:p>
        </w:tc>
        <w:tc>
          <w:tcPr>
            <w:tcW w:w="0" w:type="auto"/>
          </w:tcPr>
          <w:p w14:paraId="7FCFA8CF">
            <w:pPr>
              <w:rPr>
                <w:sz w:val="20"/>
                <w:szCs w:val="20"/>
                <w:lang w:eastAsia="en-US"/>
              </w:rPr>
            </w:pPr>
            <w:r>
              <w:rPr>
                <w:sz w:val="20"/>
                <w:szCs w:val="20"/>
                <w:lang w:eastAsia="en-US"/>
              </w:rPr>
              <w:t>Severe aggregation on TiO₂ surface</w:t>
            </w:r>
          </w:p>
        </w:tc>
        <w:tc>
          <w:tcPr>
            <w:tcW w:w="0" w:type="auto"/>
          </w:tcPr>
          <w:p w14:paraId="5C8C1199">
            <w:pPr>
              <w:rPr>
                <w:sz w:val="20"/>
                <w:szCs w:val="20"/>
                <w:lang w:eastAsia="en-US"/>
              </w:rPr>
            </w:pPr>
            <w:r>
              <w:rPr>
                <w:sz w:val="20"/>
                <w:szCs w:val="20"/>
                <w:lang w:eastAsia="en-US"/>
              </w:rPr>
              <w:t>4–8</w:t>
            </w:r>
          </w:p>
        </w:tc>
        <w:tc>
          <w:tcPr>
            <w:tcW w:w="0" w:type="auto"/>
          </w:tcPr>
          <w:p w14:paraId="048BF2ED">
            <w:pPr>
              <w:rPr>
                <w:sz w:val="20"/>
                <w:szCs w:val="20"/>
                <w:lang w:eastAsia="en-US"/>
              </w:rPr>
            </w:pPr>
            <w:r>
              <w:rPr>
                <w:sz w:val="20"/>
                <w:szCs w:val="20"/>
                <w:lang w:eastAsia="en-US"/>
              </w:rPr>
              <w:t>Tunç et al., 2021</w:t>
            </w:r>
          </w:p>
        </w:tc>
      </w:tr>
      <w:tr w14:paraId="0694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63EEBDC">
            <w:pPr>
              <w:rPr>
                <w:sz w:val="20"/>
                <w:szCs w:val="20"/>
                <w:lang w:eastAsia="en-US"/>
              </w:rPr>
            </w:pPr>
            <w:r>
              <w:rPr>
                <w:sz w:val="20"/>
                <w:szCs w:val="20"/>
                <w:lang w:eastAsia="en-US"/>
              </w:rPr>
              <w:t>Natural Dyes</w:t>
            </w:r>
          </w:p>
        </w:tc>
        <w:tc>
          <w:tcPr>
            <w:tcW w:w="0" w:type="auto"/>
          </w:tcPr>
          <w:p w14:paraId="06EB1DA8">
            <w:pPr>
              <w:rPr>
                <w:sz w:val="20"/>
                <w:szCs w:val="20"/>
                <w:lang w:eastAsia="en-US"/>
              </w:rPr>
            </w:pPr>
            <w:r>
              <w:rPr>
                <w:sz w:val="20"/>
                <w:szCs w:val="20"/>
                <w:lang w:eastAsia="en-US"/>
              </w:rPr>
              <w:t>Anthocyanins, Chlorophylls, Betalains</w:t>
            </w:r>
          </w:p>
        </w:tc>
        <w:tc>
          <w:tcPr>
            <w:tcW w:w="0" w:type="auto"/>
          </w:tcPr>
          <w:p w14:paraId="04DD7B7E">
            <w:pPr>
              <w:rPr>
                <w:sz w:val="20"/>
                <w:szCs w:val="20"/>
                <w:lang w:eastAsia="en-US"/>
              </w:rPr>
            </w:pPr>
            <w:r>
              <w:rPr>
                <w:sz w:val="20"/>
                <w:szCs w:val="20"/>
                <w:lang w:eastAsia="en-US"/>
              </w:rPr>
              <w:t>Renewable, biodegradable, inexpensive</w:t>
            </w:r>
          </w:p>
        </w:tc>
        <w:tc>
          <w:tcPr>
            <w:tcW w:w="0" w:type="auto"/>
          </w:tcPr>
          <w:p w14:paraId="3FD752DC">
            <w:pPr>
              <w:rPr>
                <w:sz w:val="20"/>
                <w:szCs w:val="20"/>
                <w:lang w:eastAsia="en-US"/>
              </w:rPr>
            </w:pPr>
            <w:r>
              <w:rPr>
                <w:sz w:val="20"/>
                <w:szCs w:val="20"/>
                <w:lang w:eastAsia="en-US"/>
              </w:rPr>
              <w:t>Poor stability and low efficiency</w:t>
            </w:r>
          </w:p>
        </w:tc>
        <w:tc>
          <w:tcPr>
            <w:tcW w:w="0" w:type="auto"/>
          </w:tcPr>
          <w:p w14:paraId="4292A3B4">
            <w:pPr>
              <w:rPr>
                <w:sz w:val="20"/>
                <w:szCs w:val="20"/>
                <w:lang w:eastAsia="en-US"/>
              </w:rPr>
            </w:pPr>
            <w:r>
              <w:rPr>
                <w:sz w:val="20"/>
                <w:szCs w:val="20"/>
                <w:lang w:eastAsia="en-US"/>
              </w:rPr>
              <w:t>&lt;2</w:t>
            </w:r>
          </w:p>
        </w:tc>
        <w:tc>
          <w:tcPr>
            <w:tcW w:w="0" w:type="auto"/>
          </w:tcPr>
          <w:p w14:paraId="0E9F0BCE">
            <w:pPr>
              <w:rPr>
                <w:sz w:val="20"/>
                <w:szCs w:val="20"/>
                <w:lang w:eastAsia="en-US"/>
              </w:rPr>
            </w:pPr>
            <w:r>
              <w:rPr>
                <w:sz w:val="20"/>
                <w:szCs w:val="20"/>
                <w:lang w:eastAsia="en-US"/>
              </w:rPr>
              <w:t>Ludin et al., 2014</w:t>
            </w:r>
          </w:p>
        </w:tc>
      </w:tr>
    </w:tbl>
    <w:p w14:paraId="6C923D90">
      <w:pPr>
        <w:jc w:val="both"/>
        <w:rPr>
          <w:sz w:val="20"/>
          <w:szCs w:val="20"/>
        </w:rPr>
        <w:sectPr>
          <w:type w:val="continuous"/>
          <w:pgSz w:w="12240" w:h="15840"/>
          <w:pgMar w:top="1440" w:right="1440" w:bottom="1440" w:left="1440" w:header="720" w:footer="720" w:gutter="0"/>
          <w:cols w:space="227" w:num="1"/>
          <w:docGrid w:linePitch="299" w:charSpace="0"/>
        </w:sectPr>
      </w:pPr>
      <w:r>
        <mc:AlternateContent>
          <mc:Choice Requires="wps">
            <w:drawing>
              <wp:anchor distT="0" distB="0" distL="114300" distR="114300" simplePos="0" relativeHeight="251687936" behindDoc="0" locked="0" layoutInCell="1" allowOverlap="1">
                <wp:simplePos x="0" y="0"/>
                <wp:positionH relativeFrom="column">
                  <wp:posOffset>5886450</wp:posOffset>
                </wp:positionH>
                <wp:positionV relativeFrom="paragraph">
                  <wp:posOffset>1454150</wp:posOffset>
                </wp:positionV>
                <wp:extent cx="495300" cy="316230"/>
                <wp:effectExtent l="0" t="0" r="0" b="0"/>
                <wp:wrapNone/>
                <wp:docPr id="166705481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656D986E">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463.5pt;margin-top:114.5pt;height:24.9pt;width:39pt;z-index:251687936;mso-width-relative:page;mso-height-relative:page;" filled="f" stroked="f" coordsize="21600,21600" o:gfxdata="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ReEk7bAAAADAEAAA8AAAAAAAAAAQAgAAAAIgAAAGRycy9kb3ducmV2&#10;LnhtbFBLAQIUABQAAAAIAIdO4kCTIQ3nMgIAAG0EAAAOAAAAAAAAAAEAIAAAACoBAABkcnMvZTJv&#10;RG9jLnhtbFBLBQYAAAAABgAGAFkBAADOBQAAAAA=&#10;">
                <v:fill on="f" focussize="0,0"/>
                <v:stroke on="f" weight="0.5pt"/>
                <v:imagedata o:title=""/>
                <o:lock v:ext="edit" aspectratio="f"/>
                <v:textbox>
                  <w:txbxContent>
                    <w:p w14:paraId="656D986E">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287</w:t>
                      </w:r>
                    </w:p>
                  </w:txbxContent>
                </v:textbox>
              </v:shape>
            </w:pict>
          </mc:Fallback>
        </mc:AlternateContent>
      </w:r>
    </w:p>
    <w:p w14:paraId="11993EAA">
      <w:pPr>
        <w:jc w:val="both"/>
        <w:rPr>
          <w:sz w:val="20"/>
          <w:szCs w:val="20"/>
          <w:lang w:eastAsia="en-US"/>
        </w:rPr>
      </w:pPr>
      <w:r>
        <w:rPr>
          <w:sz w:val="20"/>
          <w:szCs w:val="20"/>
        </w:rPr>
        <w:t>Comparative Analysis</w:t>
      </w:r>
    </w:p>
    <w:p w14:paraId="3F05BB40">
      <w:pPr>
        <w:jc w:val="both"/>
        <w:rPr>
          <w:sz w:val="20"/>
          <w:szCs w:val="20"/>
        </w:rPr>
      </w:pPr>
      <w:r>
        <w:rPr>
          <w:sz w:val="20"/>
          <w:szCs w:val="20"/>
        </w:rPr>
        <w:t>Among the sensitizers reviewed, ruthenium-based complexes remain the benchmark owing to their broad absorption spectra, excellent photostability, and favorable charge-transfer characteristics. However, the scarcity and high cost of ruthenium have stimulated intensive research into metal-free organic dyes. Triphenylamine-, indoline-, carbazole-, and coumarin-based sensitizers have emerged as promising alternatives due to their high molar extinction coefficients, ease of molecular modification, and relatively low production costs. Recent studies suggest that properly engineered organic sensitizers can achieve power conversion efficiencies comparable to those of conventional ruthenium complexes while offering improved sustainability and scalability.</w:t>
      </w:r>
    </w:p>
    <w:p w14:paraId="59ED68A1">
      <w:pPr>
        <w:pStyle w:val="2"/>
        <w:jc w:val="both"/>
        <w:rPr>
          <w:rFonts w:ascii="Times New Roman" w:hAnsi="Times New Roman" w:eastAsia="Times New Roman" w:cs="Times New Roman"/>
          <w:color w:val="auto"/>
          <w:sz w:val="20"/>
          <w:szCs w:val="20"/>
          <w:lang w:eastAsia="en-US"/>
        </w:rPr>
      </w:pPr>
      <w:r>
        <w:rPr>
          <w:rFonts w:ascii="Times New Roman" w:hAnsi="Times New Roman" w:cs="Times New Roman"/>
          <w:color w:val="auto"/>
          <w:sz w:val="20"/>
          <w:szCs w:val="20"/>
        </w:rPr>
        <w:t>FUTURE OUTLOOK AND RESEARCH DIRECTIONS</w:t>
      </w:r>
    </w:p>
    <w:p w14:paraId="03D3D54A">
      <w:pPr>
        <w:pStyle w:val="26"/>
        <w:spacing w:after="0" w:afterAutospacing="0"/>
        <w:jc w:val="both"/>
        <w:rPr>
          <w:sz w:val="20"/>
          <w:szCs w:val="20"/>
        </w:rPr>
      </w:pPr>
      <w:r>
        <w:rPr>
          <w:sz w:val="20"/>
          <w:szCs w:val="20"/>
        </w:rPr>
        <w:t>Despite remarkable progress in dye-sensitized solar cell technology, several scientific and technological challenges continue to limit widespread commercialization. Future research should focus on the following areas, etc.</w:t>
      </w:r>
    </w:p>
    <w:p w14:paraId="70AA2177">
      <w:pPr>
        <w:pStyle w:val="4"/>
        <w:spacing w:after="0"/>
        <w:rPr>
          <w:rFonts w:cs="Times New Roman"/>
          <w:color w:val="auto"/>
          <w:sz w:val="20"/>
          <w:szCs w:val="20"/>
        </w:rPr>
      </w:pPr>
      <w:r>
        <w:rPr>
          <w:rFonts w:cs="Times New Roman"/>
          <w:color w:val="auto"/>
          <w:sz w:val="20"/>
          <w:szCs w:val="20"/>
        </w:rPr>
        <w:t>Development of Broad-Spectrum Sensitizers</w:t>
      </w:r>
    </w:p>
    <w:p w14:paraId="49D2CB2A">
      <w:pPr>
        <w:pStyle w:val="26"/>
        <w:spacing w:after="0" w:afterAutospacing="0"/>
        <w:jc w:val="both"/>
        <w:rPr>
          <w:sz w:val="20"/>
          <w:szCs w:val="20"/>
        </w:rPr>
      </w:pPr>
      <w:r>
        <w:rPr>
          <w:sz w:val="20"/>
          <w:szCs w:val="20"/>
        </w:rPr>
        <w:t>One of the major limitations of current sensitizers is incomplete utilization of the solar spectrum. Future sensitizer designs should aim to extend light absorption into the near-infrared (NIR) region while maintaining efficient electron injection and dye regeneration. Molecular engineering strategies involving extended π-conjugation, donor-acceptor architectures, and fused heterocyclic systems are expected to play crucial roles in achieving this objective.</w:t>
      </w:r>
    </w:p>
    <w:p w14:paraId="36C8EAB1">
      <w:pPr>
        <w:pStyle w:val="4"/>
        <w:spacing w:after="0"/>
        <w:rPr>
          <w:rFonts w:cs="Times New Roman"/>
          <w:color w:val="auto"/>
          <w:sz w:val="20"/>
          <w:szCs w:val="20"/>
        </w:rPr>
      </w:pPr>
      <w:r>
        <w:rPr>
          <w:rFonts w:cs="Times New Roman"/>
          <w:color w:val="auto"/>
          <w:sz w:val="20"/>
          <w:szCs w:val="20"/>
        </w:rPr>
        <w:t>Advanced Molecular Engineering</w:t>
      </w:r>
    </w:p>
    <w:p w14:paraId="54E0595F">
      <w:pPr>
        <w:pStyle w:val="26"/>
        <w:spacing w:after="0" w:afterAutospacing="0"/>
        <w:jc w:val="both"/>
        <w:rPr>
          <w:sz w:val="20"/>
          <w:szCs w:val="20"/>
        </w:rPr>
      </w:pPr>
      <w:r>
        <w:rPr>
          <w:sz w:val="20"/>
          <w:szCs w:val="20"/>
        </w:rPr>
        <w:t>The continued optimization of D–π–A, D–A–π–A, and multi-donor sensitizer architectures offers significant opportunities for enhancing charge separation and reducing electron-hole recombination. Future studies should focus on:</w:t>
      </w:r>
    </w:p>
    <w:p w14:paraId="3DD17FE2">
      <w:pPr>
        <w:numPr>
          <w:ilvl w:val="0"/>
          <w:numId w:val="3"/>
        </w:numPr>
        <w:spacing w:before="100" w:beforeAutospacing="1"/>
        <w:rPr>
          <w:sz w:val="20"/>
          <w:szCs w:val="20"/>
        </w:rPr>
      </w:pPr>
      <w:r>
        <w:rPr>
          <w:sz w:val="20"/>
          <w:szCs w:val="20"/>
        </w:rPr>
        <w:t xml:space="preserve">Tailoring donor and acceptor strengths. </w:t>
      </w:r>
    </w:p>
    <w:p w14:paraId="2923C9EF">
      <w:pPr>
        <w:numPr>
          <w:ilvl w:val="0"/>
          <w:numId w:val="3"/>
        </w:numPr>
        <w:spacing w:before="100" w:beforeAutospacing="1"/>
        <w:rPr>
          <w:sz w:val="20"/>
          <w:szCs w:val="20"/>
        </w:rPr>
      </w:pPr>
      <w:r>
        <w:rPr>
          <w:sz w:val="20"/>
          <w:szCs w:val="20"/>
        </w:rPr>
        <w:t xml:space="preserve">Optimizing π-conjugated spacers. </w:t>
      </w:r>
    </w:p>
    <w:p w14:paraId="5D069E94">
      <w:pPr>
        <w:numPr>
          <w:ilvl w:val="0"/>
          <w:numId w:val="3"/>
        </w:numPr>
        <w:spacing w:before="100" w:beforeAutospacing="1"/>
        <w:rPr>
          <w:sz w:val="20"/>
          <w:szCs w:val="20"/>
        </w:rPr>
      </w:pPr>
      <w:r>
        <w:rPr>
          <w:sz w:val="20"/>
          <w:szCs w:val="20"/>
        </w:rPr>
        <w:t xml:space="preserve">Introducing sterically bulky substituents to suppress dye aggregation. </w:t>
      </w:r>
    </w:p>
    <w:p w14:paraId="61FE7BEA">
      <w:pPr>
        <w:numPr>
          <w:ilvl w:val="0"/>
          <w:numId w:val="3"/>
        </w:numPr>
        <w:spacing w:before="100" w:beforeAutospacing="1"/>
        <w:jc w:val="both"/>
        <w:rPr>
          <w:sz w:val="20"/>
          <w:szCs w:val="20"/>
        </w:rPr>
      </w:pPr>
      <w:r>
        <w:rPr>
          <w:sz w:val="20"/>
          <w:szCs w:val="20"/>
        </w:rPr>
        <w:t xml:space="preserve">Designing multifunctional anchoring groups with stronger semiconductor binding capabilities. </w:t>
      </w:r>
    </w:p>
    <w:p w14:paraId="7AE4AC47">
      <w:pPr>
        <w:pStyle w:val="4"/>
        <w:spacing w:after="0"/>
        <w:rPr>
          <w:rFonts w:cs="Times New Roman"/>
          <w:color w:val="auto"/>
          <w:sz w:val="20"/>
          <w:szCs w:val="20"/>
        </w:rPr>
      </w:pPr>
      <w:r>
        <w:rPr>
          <w:rFonts w:cs="Times New Roman"/>
          <w:color w:val="auto"/>
          <w:sz w:val="20"/>
          <w:szCs w:val="20"/>
        </w:rPr>
        <w:t>Co-Sensitization Strategies</w:t>
      </w:r>
    </w:p>
    <w:p w14:paraId="31B20BB1">
      <w:pPr>
        <w:pStyle w:val="26"/>
        <w:spacing w:after="0" w:afterAutospacing="0"/>
        <w:jc w:val="both"/>
        <w:rPr>
          <w:sz w:val="20"/>
          <w:szCs w:val="20"/>
        </w:rPr>
      </w:pPr>
      <w:r>
        <w:rPr>
          <w:sz w:val="20"/>
          <w:szCs w:val="20"/>
        </w:rPr>
        <w:t>Co-sensitization, involving the simultaneous use of two or more complementary dyes, has demonstrated significant potential for broadening spectral coverage and improving charge collection efficiency. Future work should focus on identifying synergistic dye combinations capable of maximizing photon harvesting across the visible and NIR regions.</w:t>
      </w:r>
    </w:p>
    <w:p w14:paraId="16774E5C">
      <w:pPr>
        <w:pStyle w:val="4"/>
        <w:spacing w:after="0"/>
        <w:rPr>
          <w:rFonts w:cs="Times New Roman"/>
          <w:color w:val="auto"/>
          <w:sz w:val="20"/>
          <w:szCs w:val="20"/>
        </w:rPr>
      </w:pPr>
      <w:r>
        <w:rPr>
          <w:rFonts w:cs="Times New Roman"/>
          <w:color w:val="auto"/>
          <w:sz w:val="20"/>
          <w:szCs w:val="20"/>
        </w:rPr>
        <w:t>Sustainable and Earth-Abundant Sensitizers</w:t>
      </w:r>
    </w:p>
    <w:p w14:paraId="7A05D6B7">
      <w:pPr>
        <w:pStyle w:val="26"/>
        <w:spacing w:after="0" w:afterAutospacing="0"/>
        <w:jc w:val="both"/>
        <w:rPr>
          <w:sz w:val="20"/>
          <w:szCs w:val="20"/>
        </w:rPr>
      </w:pPr>
      <w:r>
        <w:rPr>
          <w:sz w:val="20"/>
          <w:szCs w:val="20"/>
        </w:rPr>
        <w:t>The reliance on expensive noble metals such as ruthenium presents economic and sustainability concerns. Consequently, future research should prioritize sensitizers based on abundant and environmentally benign elements such as:</w:t>
      </w:r>
    </w:p>
    <w:p w14:paraId="4D0B2CA1">
      <w:pPr>
        <w:numPr>
          <w:ilvl w:val="0"/>
          <w:numId w:val="4"/>
        </w:numPr>
        <w:spacing w:before="100" w:beforeAutospacing="1"/>
        <w:rPr>
          <w:sz w:val="20"/>
          <w:szCs w:val="20"/>
        </w:rPr>
      </w:pPr>
      <w:r>
        <w:rPr>
          <w:sz w:val="20"/>
          <w:szCs w:val="20"/>
        </w:rPr>
        <w:t xml:space="preserve">Iron (Fe) </w:t>
      </w:r>
    </w:p>
    <w:p w14:paraId="40BC09F5">
      <w:pPr>
        <w:numPr>
          <w:ilvl w:val="0"/>
          <w:numId w:val="4"/>
        </w:numPr>
        <w:spacing w:before="100" w:beforeAutospacing="1"/>
        <w:rPr>
          <w:sz w:val="20"/>
          <w:szCs w:val="20"/>
        </w:rPr>
      </w:pPr>
      <w:r>
        <w:rPr>
          <w:sz w:val="20"/>
          <w:szCs w:val="20"/>
        </w:rPr>
        <w:t xml:space="preserve">Copper (Cu) </w:t>
      </w:r>
    </w:p>
    <w:p w14:paraId="08D6E44F">
      <w:pPr>
        <w:numPr>
          <w:ilvl w:val="0"/>
          <w:numId w:val="4"/>
        </w:numPr>
        <w:spacing w:before="100" w:beforeAutospacing="1"/>
        <w:rPr>
          <w:sz w:val="20"/>
          <w:szCs w:val="20"/>
        </w:rPr>
      </w:pPr>
      <w:r>
        <w:rPr>
          <w:sz w:val="20"/>
          <w:szCs w:val="20"/>
        </w:rPr>
        <w:t xml:space="preserve">Zinc (Zn) </w:t>
      </w:r>
    </w:p>
    <w:p w14:paraId="3701582E">
      <w:pPr>
        <w:numPr>
          <w:ilvl w:val="0"/>
          <w:numId w:val="4"/>
        </w:numPr>
        <w:spacing w:before="100" w:beforeAutospacing="1"/>
        <w:rPr>
          <w:sz w:val="20"/>
          <w:szCs w:val="20"/>
        </w:rPr>
      </w:pPr>
      <w:r>
        <w:rPr>
          <w:sz w:val="20"/>
          <w:szCs w:val="20"/>
        </w:rPr>
        <w:t xml:space="preserve">Nickel (Ni) </w:t>
      </w:r>
    </w:p>
    <w:p w14:paraId="49A0C05E">
      <w:pPr>
        <w:pStyle w:val="26"/>
        <w:spacing w:after="0" w:afterAutospacing="0"/>
        <w:rPr>
          <w:sz w:val="20"/>
          <w:szCs w:val="20"/>
        </w:rPr>
      </w:pPr>
      <w:r>
        <w:rPr>
          <w:sz w:val="20"/>
          <w:szCs w:val="20"/>
        </w:rPr>
        <w:t>as well as fully organic metal-free sensitizers that offer lower environmental impact and reduced production costs.</w:t>
      </w:r>
    </w:p>
    <w:p w14:paraId="37009FF4">
      <w:pPr>
        <w:pStyle w:val="4"/>
        <w:spacing w:after="0"/>
        <w:rPr>
          <w:rFonts w:cs="Times New Roman"/>
          <w:color w:val="auto"/>
          <w:sz w:val="20"/>
          <w:szCs w:val="20"/>
        </w:rPr>
      </w:pPr>
      <w:r>
        <w:rPr>
          <w:rFonts w:cs="Times New Roman"/>
          <w:color w:val="auto"/>
          <w:sz w:val="20"/>
          <w:szCs w:val="20"/>
        </w:rPr>
        <w:t>Computationally Guided Dye Design</w:t>
      </w:r>
    </w:p>
    <w:p w14:paraId="2E052A42">
      <w:pPr>
        <w:pStyle w:val="26"/>
        <w:spacing w:after="0" w:afterAutospacing="0"/>
        <w:rPr>
          <w:sz w:val="20"/>
          <w:szCs w:val="20"/>
        </w:rPr>
      </w:pPr>
      <w:r>
        <w:rPr>
          <w:sz w:val="20"/>
          <w:szCs w:val="20"/>
        </w:rPr>
        <w:t>Advances in computational chemistry have significantly accelerated sensitizer development. Density Functional Theory (DFT) and Time-Dependent Density Functional Theory (TD-DFT) calculations can predict:</w:t>
      </w:r>
    </w:p>
    <w:p w14:paraId="1732FEEB">
      <w:pPr>
        <w:numPr>
          <w:ilvl w:val="0"/>
          <w:numId w:val="5"/>
        </w:numPr>
        <w:spacing w:before="100" w:beforeAutospacing="1"/>
        <w:rPr>
          <w:sz w:val="20"/>
          <w:szCs w:val="20"/>
        </w:rPr>
      </w:pPr>
      <w:r>
        <w:rPr>
          <w:sz w:val="20"/>
          <w:szCs w:val="20"/>
        </w:rPr>
        <w:t xml:space="preserve">HOMO-LUMO energy levels, </w:t>
      </w:r>
    </w:p>
    <w:p w14:paraId="1A6A4827">
      <w:pPr>
        <w:numPr>
          <w:ilvl w:val="0"/>
          <w:numId w:val="5"/>
        </w:numPr>
        <w:spacing w:before="100" w:beforeAutospacing="1"/>
        <w:rPr>
          <w:sz w:val="20"/>
          <w:szCs w:val="20"/>
        </w:rPr>
      </w:pPr>
      <w:r>
        <w:rPr>
          <w:sz w:val="20"/>
          <w:szCs w:val="20"/>
        </w:rPr>
        <w:t xml:space="preserve">Electron density distribution, </w:t>
      </w:r>
    </w:p>
    <w:p w14:paraId="7A5EBE48">
      <w:pPr>
        <w:numPr>
          <w:ilvl w:val="0"/>
          <w:numId w:val="5"/>
        </w:numPr>
        <w:spacing w:before="100" w:beforeAutospacing="1"/>
        <w:rPr>
          <w:sz w:val="20"/>
          <w:szCs w:val="20"/>
        </w:rPr>
      </w:pPr>
      <w:r>
        <w:rPr>
          <w:sz w:val="20"/>
          <w:szCs w:val="20"/>
        </w:rPr>
        <w:t xml:space="preserve">Absorption spectra, </w:t>
      </w:r>
    </w:p>
    <w:p w14:paraId="1FB6C040">
      <w:pPr>
        <w:numPr>
          <w:ilvl w:val="0"/>
          <w:numId w:val="5"/>
        </w:numPr>
        <w:spacing w:before="100" w:beforeAutospacing="1"/>
        <w:rPr>
          <w:sz w:val="20"/>
          <w:szCs w:val="20"/>
        </w:rPr>
      </w:pPr>
      <w:r>
        <w:rPr>
          <w:sz w:val="20"/>
          <w:szCs w:val="20"/>
        </w:rPr>
        <w:t xml:space="preserve">Charge-transfer characteristics. </w:t>
      </w:r>
    </w:p>
    <w:p w14:paraId="40FA26E6">
      <w:pPr>
        <w:pStyle w:val="26"/>
        <w:spacing w:after="0" w:afterAutospacing="0"/>
        <w:jc w:val="both"/>
        <w:rPr>
          <w:sz w:val="20"/>
          <w:szCs w:val="20"/>
        </w:rPr>
      </w:pPr>
      <w:r>
        <w:rPr>
          <w:sz w:val="20"/>
          <w:szCs w:val="20"/>
        </w:rPr>
        <w:t>Future integration of artificial intelligence, machine learning, and high-throughput computational screening is expected to reduce experimental costs and accelerate the discovery of high-performance sensitizers.</w:t>
      </w:r>
    </w:p>
    <w:p w14:paraId="57B3229D">
      <w:pPr>
        <w:pStyle w:val="4"/>
        <w:spacing w:after="0"/>
        <w:rPr>
          <w:rFonts w:cs="Times New Roman"/>
          <w:color w:val="auto"/>
          <w:sz w:val="20"/>
          <w:szCs w:val="20"/>
        </w:rPr>
      </w:pPr>
      <w:r>
        <w:rPr>
          <w:rFonts w:cs="Times New Roman"/>
          <w:color w:val="auto"/>
          <w:sz w:val="20"/>
          <w:szCs w:val="20"/>
        </w:rPr>
        <w:t>Alternative Redox Mediators and Solid-State Electrolytes</w:t>
      </w:r>
    </w:p>
    <w:p w14:paraId="0E43D1CE">
      <w:pPr>
        <w:pStyle w:val="26"/>
        <w:spacing w:after="0" w:afterAutospacing="0"/>
        <w:jc w:val="both"/>
        <w:rPr>
          <w:sz w:val="20"/>
          <w:szCs w:val="20"/>
        </w:rPr>
      </w:pPr>
      <w:r>
        <w:rPr>
          <w:sz w:val="20"/>
          <w:szCs w:val="20"/>
        </w:rPr>
        <w:t>Although the I₃⁻/I⁻ redox couple remains the most widely used electrolyte system, it suffers from volatility, corrosion, and long-term stability issues. Future studies should focus on:</w:t>
      </w:r>
    </w:p>
    <w:p w14:paraId="5AD48D79">
      <w:pPr>
        <w:numPr>
          <w:ilvl w:val="0"/>
          <w:numId w:val="6"/>
        </w:numPr>
        <w:spacing w:before="100" w:beforeAutospacing="1"/>
        <w:rPr>
          <w:sz w:val="20"/>
          <w:szCs w:val="20"/>
        </w:rPr>
      </w:pPr>
      <w:r>
        <w:rPr>
          <w:sz w:val="20"/>
          <w:szCs w:val="20"/>
        </w:rPr>
        <w:t xml:space="preserve">Cobalt-based redox mediators, </w:t>
      </w:r>
    </w:p>
    <w:p w14:paraId="2744394B">
      <w:pPr>
        <w:numPr>
          <w:ilvl w:val="0"/>
          <w:numId w:val="6"/>
        </w:numPr>
        <w:spacing w:before="100" w:beforeAutospacing="1"/>
        <w:rPr>
          <w:sz w:val="20"/>
          <w:szCs w:val="20"/>
        </w:rPr>
      </w:pPr>
      <w:r>
        <w:rPr>
          <w:sz w:val="20"/>
          <w:szCs w:val="20"/>
        </w:rPr>
        <w:t xml:space="preserve">Copper-based redox mediators, </w:t>
      </w:r>
    </w:p>
    <w:p w14:paraId="7F56C005">
      <w:pPr>
        <w:numPr>
          <w:ilvl w:val="0"/>
          <w:numId w:val="6"/>
        </w:numPr>
        <w:spacing w:before="100" w:beforeAutospacing="1"/>
        <w:rPr>
          <w:sz w:val="20"/>
          <w:szCs w:val="20"/>
        </w:rPr>
      </w:pPr>
      <w:r>
        <w:rPr>
          <w:sz w:val="20"/>
          <w:szCs w:val="20"/>
        </w:rPr>
        <w:t xml:space="preserve">Organic redox couples, </w:t>
      </w:r>
    </w:p>
    <w:p w14:paraId="3E116E7C">
      <w:pPr>
        <w:numPr>
          <w:ilvl w:val="0"/>
          <w:numId w:val="6"/>
        </w:numPr>
        <w:spacing w:before="100" w:beforeAutospacing="1"/>
        <w:rPr>
          <w:sz w:val="20"/>
          <w:szCs w:val="20"/>
        </w:rPr>
      </w:pPr>
      <w:r>
        <w:rPr>
          <w:sz w:val="20"/>
          <w:szCs w:val="20"/>
        </w:rPr>
        <w:t xml:space="preserve">Solid-state hole transport materials, </w:t>
      </w:r>
    </w:p>
    <w:p w14:paraId="3DC86FD3">
      <w:pPr>
        <w:numPr>
          <w:ilvl w:val="0"/>
          <w:numId w:val="6"/>
        </w:numPr>
        <w:spacing w:before="100" w:beforeAutospacing="1"/>
        <w:rPr>
          <w:sz w:val="20"/>
          <w:szCs w:val="20"/>
        </w:rPr>
      </w:pPr>
      <w:r>
        <w:rPr>
          <w:sz w:val="20"/>
          <w:szCs w:val="20"/>
        </w:rPr>
        <w:t xml:space="preserve">Quasi-solid-state electrolytes. </w:t>
      </w:r>
    </w:p>
    <w:p w14:paraId="4D76D741">
      <w:pPr>
        <w:pStyle w:val="26"/>
        <w:spacing w:after="0" w:afterAutospacing="0"/>
        <w:jc w:val="both"/>
        <w:rPr>
          <w:sz w:val="20"/>
          <w:szCs w:val="20"/>
        </w:rPr>
      </w:pPr>
      <w:r>
        <w:rPr>
          <w:sz w:val="20"/>
          <w:szCs w:val="20"/>
        </w:rPr>
        <w:t>These alternatives have the potential to improve device durability and facilitate commercialization.</w:t>
      </w:r>
    </w:p>
    <w:p w14:paraId="632CBE24">
      <w:pPr>
        <w:pStyle w:val="4"/>
        <w:spacing w:after="0"/>
        <w:rPr>
          <w:rFonts w:cs="Times New Roman"/>
          <w:color w:val="auto"/>
          <w:sz w:val="20"/>
          <w:szCs w:val="20"/>
        </w:rPr>
      </w:pPr>
      <w:r>
        <w:rPr>
          <w:rFonts w:cs="Times New Roman"/>
          <w:color w:val="auto"/>
          <w:sz w:val="20"/>
          <w:szCs w:val="20"/>
        </w:rPr>
        <w:t>Long-Term Stability and Commercialization</w:t>
      </w:r>
    </w:p>
    <w:p w14:paraId="468749A3">
      <w:pPr>
        <w:pStyle w:val="26"/>
        <w:spacing w:after="0" w:afterAutospacing="0"/>
        <w:jc w:val="both"/>
        <w:rPr>
          <w:sz w:val="20"/>
          <w:szCs w:val="20"/>
        </w:rPr>
      </w:pPr>
      <w:r>
        <w:rPr>
          <w:sz w:val="20"/>
          <w:szCs w:val="20"/>
        </w:rPr>
        <w:t>While laboratory efficiencies of DSSCs have improved considerably, long-term operational stability remains a significant challenge. Future investigations should emphasize:</w:t>
      </w:r>
    </w:p>
    <w:p w14:paraId="4F20D4E5">
      <w:pPr>
        <w:numPr>
          <w:ilvl w:val="0"/>
          <w:numId w:val="7"/>
        </w:numPr>
        <w:spacing w:before="100" w:beforeAutospacing="1"/>
        <w:rPr>
          <w:sz w:val="20"/>
          <w:szCs w:val="20"/>
        </w:rPr>
      </w:pPr>
      <w:r>
        <mc:AlternateContent>
          <mc:Choice Requires="wps">
            <w:drawing>
              <wp:anchor distT="0" distB="0" distL="114300" distR="114300" simplePos="0" relativeHeight="251688960" behindDoc="0" locked="0" layoutInCell="1" allowOverlap="1">
                <wp:simplePos x="0" y="0"/>
                <wp:positionH relativeFrom="column">
                  <wp:posOffset>2838450</wp:posOffset>
                </wp:positionH>
                <wp:positionV relativeFrom="paragraph">
                  <wp:posOffset>570865</wp:posOffset>
                </wp:positionV>
                <wp:extent cx="495300" cy="316230"/>
                <wp:effectExtent l="0" t="0" r="0" b="0"/>
                <wp:wrapNone/>
                <wp:docPr id="142320594"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7281B941">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44.95pt;height:24.9pt;width:39pt;z-index:251688960;mso-width-relative:page;mso-height-relative:page;" filled="f" stroked="f" coordsize="21600,21600" o:gfxdata="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VVDN9sAAAAKAQAADwAAAAAAAAABACAAAAAiAAAAZHJzL2Rvd25yZXYu&#10;eG1sUEsBAhQAFAAAAAgAh07iQHRnO5UxAgAAbAQAAA4AAAAAAAAAAQAgAAAAKgEAAGRycy9lMm9E&#10;b2MueG1sUEsFBgAAAAAGAAYAWQEAAM0FAAAAAA==&#10;">
                <v:fill on="f" focussize="0,0"/>
                <v:stroke on="f" weight="0.5pt"/>
                <v:imagedata o:title=""/>
                <o:lock v:ext="edit" aspectratio="f"/>
                <v:textbox>
                  <w:txbxContent>
                    <w:p w14:paraId="7281B941">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288</w:t>
                      </w:r>
                    </w:p>
                  </w:txbxContent>
                </v:textbox>
              </v:shape>
            </w:pict>
          </mc:Fallback>
        </mc:AlternateContent>
      </w:r>
      <w:r>
        <w:rPr>
          <w:sz w:val="20"/>
          <w:szCs w:val="20"/>
        </w:rPr>
        <w:t xml:space="preserve">Photostability of sensitizers, </w:t>
      </w:r>
    </w:p>
    <w:p w14:paraId="3994377F">
      <w:pPr>
        <w:numPr>
          <w:ilvl w:val="0"/>
          <w:numId w:val="7"/>
        </w:numPr>
        <w:spacing w:before="100" w:beforeAutospacing="1"/>
        <w:rPr>
          <w:sz w:val="20"/>
          <w:szCs w:val="20"/>
        </w:rPr>
      </w:pPr>
      <w:r>
        <w:rPr>
          <w:sz w:val="20"/>
          <w:szCs w:val="20"/>
        </w:rPr>
        <w:t xml:space="preserve">Thermal stability under outdoor conditions, </w:t>
      </w:r>
    </w:p>
    <w:p w14:paraId="0621E8F8">
      <w:pPr>
        <w:numPr>
          <w:ilvl w:val="0"/>
          <w:numId w:val="7"/>
        </w:numPr>
        <w:spacing w:before="100" w:beforeAutospacing="1"/>
        <w:rPr>
          <w:sz w:val="20"/>
          <w:szCs w:val="20"/>
        </w:rPr>
      </w:pPr>
      <w:r>
        <w:rPr>
          <w:sz w:val="20"/>
          <w:szCs w:val="20"/>
        </w:rPr>
        <w:t xml:space="preserve">Moisture resistance, </w:t>
      </w:r>
    </w:p>
    <w:p w14:paraId="5DF31FCC">
      <w:pPr>
        <w:numPr>
          <w:ilvl w:val="0"/>
          <w:numId w:val="7"/>
        </w:numPr>
        <w:spacing w:before="100" w:beforeAutospacing="1"/>
        <w:rPr>
          <w:sz w:val="20"/>
          <w:szCs w:val="20"/>
        </w:rPr>
      </w:pPr>
      <w:r>
        <w:rPr>
          <w:sz w:val="20"/>
          <w:szCs w:val="20"/>
        </w:rPr>
        <w:t xml:space="preserve">Encapsulation technologies, </w:t>
      </w:r>
    </w:p>
    <w:p w14:paraId="5317CDAB">
      <w:pPr>
        <w:numPr>
          <w:ilvl w:val="0"/>
          <w:numId w:val="7"/>
        </w:numPr>
        <w:spacing w:before="100" w:beforeAutospacing="1"/>
        <w:rPr>
          <w:sz w:val="20"/>
          <w:szCs w:val="20"/>
        </w:rPr>
      </w:pPr>
      <w:r>
        <w:rPr>
          <w:sz w:val="20"/>
          <w:szCs w:val="20"/>
        </w:rPr>
        <w:t xml:space="preserve">Scalable manufacturing processes. </w:t>
      </w:r>
    </w:p>
    <w:p w14:paraId="1FE0A769">
      <w:pPr>
        <w:spacing w:before="100" w:beforeAutospacing="1" w:after="100" w:afterAutospacing="1"/>
        <w:jc w:val="both"/>
        <w:rPr>
          <w:sz w:val="20"/>
          <w:szCs w:val="20"/>
        </w:rPr>
      </w:pPr>
      <w:r>
        <w:rPr>
          <w:sz w:val="20"/>
          <w:szCs w:val="20"/>
        </w:rPr>
        <w:t>Achieving stable operation over 20–25 years will be critical for successful commercialization and competition with conventional silicon photovoltaic technologies.</w:t>
      </w:r>
      <w:r>
        <w:rPr>
          <w:sz w:val="20"/>
          <w:szCs w:val="20"/>
        </w:rPr>
        <w:tab/>
      </w:r>
    </w:p>
    <w:p w14:paraId="534868FB">
      <w:pPr>
        <w:spacing w:after="80"/>
        <w:jc w:val="both"/>
        <w:rPr>
          <w:b/>
          <w:sz w:val="20"/>
          <w:szCs w:val="20"/>
        </w:rPr>
      </w:pPr>
      <w:r>
        <w:rPr>
          <w:b/>
          <w:sz w:val="20"/>
          <w:szCs w:val="20"/>
        </w:rPr>
        <w:t>CONCLUSION</w:t>
      </w:r>
    </w:p>
    <w:p w14:paraId="07E3D16F">
      <w:pPr>
        <w:jc w:val="both"/>
        <w:rPr>
          <w:bCs/>
          <w:sz w:val="20"/>
          <w:szCs w:val="20"/>
        </w:rPr>
      </w:pPr>
      <w:r>
        <w:rPr>
          <w:sz w:val="20"/>
          <w:szCs w:val="20"/>
        </w:rPr>
        <w:t>Significant advances have been made in the development of sensitizers for dye-sensitized solar cells over the past three decades. Ruthenium-based sensitizers continue to provide excellent photovoltaic performance and stability; however, their high cost and limited availability have encouraged the development of metal-free organic alternatives. Molecular engineering approaches involving donor–acceptor design, π-conjugation optimization, co-sensitization, and computationally guided dye development have substantially improved device efficiencies. Emerging organic sensitizers now exhibit performances approaching those of conventional ruthenium complexes while offering advantages in sustainability and cost-effectiveness. Future breakthroughs in sensitizer design, electrolyte development, and device stability are expected to further enhance the commercial viability of DSSCs as a sustainable photovoltaic technology.</w:t>
      </w:r>
    </w:p>
    <w:p w14:paraId="3D29B146">
      <w:pPr>
        <w:jc w:val="both"/>
        <w:rPr>
          <w:sz w:val="20"/>
          <w:szCs w:val="20"/>
        </w:rPr>
      </w:pPr>
    </w:p>
    <w:p w14:paraId="73436927">
      <w:pPr>
        <w:jc w:val="both"/>
        <w:rPr>
          <w:b/>
          <w:sz w:val="20"/>
          <w:szCs w:val="20"/>
        </w:rPr>
      </w:pPr>
      <w:r>
        <w:rPr>
          <w:b/>
          <w:sz w:val="20"/>
          <w:szCs w:val="20"/>
        </w:rPr>
        <w:t>REFERENCE</w:t>
      </w:r>
      <w:r>
        <w:rPr>
          <w:sz w:val="20"/>
          <w:szCs w:val="20"/>
          <w:shd w:val="clear" w:color="auto" w:fill="FFFFFF"/>
        </w:rPr>
        <w:t>Abusaif, M. S., Fathy, M., Abu-Saied, M. A., Elhenawy, A. A., Kashyout, A. B., Selim, M. R., &amp;Ammar, Y. A. (2021). New carbazole-based organic dyes with different acceptors for dye-sensitized solar cells: Synthesis, characterization, dssc fabrications, and density functional theory studies. </w:t>
      </w:r>
      <w:r>
        <w:rPr>
          <w:i/>
          <w:iCs/>
          <w:sz w:val="20"/>
          <w:szCs w:val="20"/>
          <w:shd w:val="clear" w:color="auto" w:fill="FFFFFF"/>
        </w:rPr>
        <w:t>Journal of Molecular Structure</w:t>
      </w:r>
      <w:r>
        <w:rPr>
          <w:sz w:val="20"/>
          <w:szCs w:val="20"/>
          <w:shd w:val="clear" w:color="auto" w:fill="FFFFFF"/>
        </w:rPr>
        <w:t>, </w:t>
      </w:r>
      <w:r>
        <w:rPr>
          <w:i/>
          <w:iCs/>
          <w:sz w:val="20"/>
          <w:szCs w:val="20"/>
          <w:shd w:val="clear" w:color="auto" w:fill="FFFFFF"/>
        </w:rPr>
        <w:t>1225</w:t>
      </w:r>
      <w:r>
        <w:rPr>
          <w:sz w:val="20"/>
          <w:szCs w:val="20"/>
          <w:shd w:val="clear" w:color="auto" w:fill="FFFFFF"/>
        </w:rPr>
        <w:t>, 129297.</w:t>
      </w:r>
    </w:p>
    <w:p w14:paraId="59534D39">
      <w:pPr>
        <w:jc w:val="both"/>
        <w:rPr>
          <w:b/>
          <w:sz w:val="20"/>
          <w:szCs w:val="20"/>
        </w:rPr>
      </w:pPr>
    </w:p>
    <w:p w14:paraId="745093B5">
      <w:pPr>
        <w:jc w:val="both"/>
        <w:rPr>
          <w:b/>
          <w:sz w:val="20"/>
          <w:szCs w:val="20"/>
        </w:rPr>
      </w:pPr>
      <w:r>
        <w:rPr>
          <w:sz w:val="20"/>
          <w:szCs w:val="20"/>
          <w:shd w:val="clear" w:color="auto" w:fill="FFFFFF"/>
        </w:rPr>
        <w:t>Adeloye, A. O., &amp; Ajibade, P. A. (2014). Towards the development of functionalized polypyridine ligands for Ru (II) complexes as photosensitizers in dye-sensitized solar cells (DSSCs). </w:t>
      </w:r>
      <w:r>
        <w:rPr>
          <w:i/>
          <w:iCs/>
          <w:sz w:val="20"/>
          <w:szCs w:val="20"/>
          <w:shd w:val="clear" w:color="auto" w:fill="FFFFFF"/>
          <w:lang w:val="fr-FR"/>
        </w:rPr>
        <w:t>Molecules</w:t>
      </w:r>
      <w:r>
        <w:rPr>
          <w:sz w:val="20"/>
          <w:szCs w:val="20"/>
          <w:shd w:val="clear" w:color="auto" w:fill="FFFFFF"/>
          <w:lang w:val="fr-FR"/>
        </w:rPr>
        <w:t>, </w:t>
      </w:r>
      <w:r>
        <w:rPr>
          <w:i/>
          <w:iCs/>
          <w:sz w:val="20"/>
          <w:szCs w:val="20"/>
          <w:shd w:val="clear" w:color="auto" w:fill="FFFFFF"/>
          <w:lang w:val="fr-FR"/>
        </w:rPr>
        <w:t>19</w:t>
      </w:r>
      <w:r>
        <w:rPr>
          <w:sz w:val="20"/>
          <w:szCs w:val="20"/>
          <w:shd w:val="clear" w:color="auto" w:fill="FFFFFF"/>
          <w:lang w:val="fr-FR"/>
        </w:rPr>
        <w:t>(8), 12421-12460.</w:t>
      </w:r>
    </w:p>
    <w:p w14:paraId="682C6DB7">
      <w:pPr>
        <w:jc w:val="both"/>
        <w:rPr>
          <w:b/>
          <w:sz w:val="20"/>
          <w:szCs w:val="20"/>
        </w:rPr>
      </w:pPr>
    </w:p>
    <w:p w14:paraId="1801C7D0">
      <w:pPr>
        <w:jc w:val="both"/>
        <w:rPr>
          <w:b/>
          <w:sz w:val="20"/>
          <w:szCs w:val="20"/>
        </w:rPr>
      </w:pPr>
      <w:r>
        <w:rPr>
          <w:sz w:val="20"/>
          <w:szCs w:val="20"/>
          <w:shd w:val="clear" w:color="auto" w:fill="FFFFFF"/>
          <w:lang w:val="es-ES"/>
        </w:rPr>
        <w:t xml:space="preserve">Ahmad, S., Guillén, E., Kavan, L., Grätzel, M., &amp; Nazeeruddin, M. K. (2013). </w:t>
      </w:r>
      <w:r>
        <w:rPr>
          <w:sz w:val="20"/>
          <w:szCs w:val="20"/>
          <w:shd w:val="clear" w:color="auto" w:fill="FFFFFF"/>
        </w:rPr>
        <w:t>Metal free sensitizer and catalyst for dye sensitized solar cells. </w:t>
      </w:r>
      <w:r>
        <w:rPr>
          <w:i/>
          <w:iCs/>
          <w:sz w:val="20"/>
          <w:szCs w:val="20"/>
          <w:shd w:val="clear" w:color="auto" w:fill="FFFFFF"/>
        </w:rPr>
        <w:t>Energy &amp; Environmental Science</w:t>
      </w:r>
      <w:r>
        <w:rPr>
          <w:sz w:val="20"/>
          <w:szCs w:val="20"/>
          <w:shd w:val="clear" w:color="auto" w:fill="FFFFFF"/>
        </w:rPr>
        <w:t>, </w:t>
      </w:r>
      <w:r>
        <w:rPr>
          <w:i/>
          <w:iCs/>
          <w:sz w:val="20"/>
          <w:szCs w:val="20"/>
          <w:shd w:val="clear" w:color="auto" w:fill="FFFFFF"/>
        </w:rPr>
        <w:t>6</w:t>
      </w:r>
      <w:r>
        <w:rPr>
          <w:sz w:val="20"/>
          <w:szCs w:val="20"/>
          <w:shd w:val="clear" w:color="auto" w:fill="FFFFFF"/>
        </w:rPr>
        <w:t>(12), 3439-3466.</w:t>
      </w:r>
    </w:p>
    <w:p w14:paraId="226AF0A6">
      <w:pPr>
        <w:jc w:val="both"/>
        <w:rPr>
          <w:b/>
          <w:sz w:val="20"/>
          <w:szCs w:val="20"/>
        </w:rPr>
      </w:pPr>
    </w:p>
    <w:p w14:paraId="064D1DC2">
      <w:pPr>
        <w:jc w:val="both"/>
        <w:rPr>
          <w:b/>
          <w:sz w:val="20"/>
          <w:szCs w:val="20"/>
        </w:rPr>
      </w:pPr>
      <w:r>
        <w:rPr>
          <w:sz w:val="20"/>
          <w:szCs w:val="20"/>
          <w:shd w:val="clear" w:color="auto" w:fill="FFFFFF"/>
        </w:rPr>
        <w:t>Al-Alwani, M. A., Mohamad, A. B., Ludin, N. A., Kadhum, A. A. H., &amp; Sopian, K. (2016). Dye-sensitised solar cells: Development, structure, operation principles, electron kinetics, characterisation, synthesis materials and natural photosensitisers. </w:t>
      </w:r>
      <w:r>
        <w:rPr>
          <w:i/>
          <w:iCs/>
          <w:sz w:val="20"/>
          <w:szCs w:val="20"/>
          <w:shd w:val="clear" w:color="auto" w:fill="FFFFFF"/>
        </w:rPr>
        <w:t>Renewable and Sustainable Energy Reviews</w:t>
      </w:r>
      <w:r>
        <w:rPr>
          <w:sz w:val="20"/>
          <w:szCs w:val="20"/>
          <w:shd w:val="clear" w:color="auto" w:fill="FFFFFF"/>
        </w:rPr>
        <w:t>, </w:t>
      </w:r>
      <w:r>
        <w:rPr>
          <w:i/>
          <w:iCs/>
          <w:sz w:val="20"/>
          <w:szCs w:val="20"/>
          <w:shd w:val="clear" w:color="auto" w:fill="FFFFFF"/>
        </w:rPr>
        <w:t>65</w:t>
      </w:r>
      <w:r>
        <w:rPr>
          <w:sz w:val="20"/>
          <w:szCs w:val="20"/>
          <w:shd w:val="clear" w:color="auto" w:fill="FFFFFF"/>
        </w:rPr>
        <w:t>, 183-213.</w:t>
      </w:r>
    </w:p>
    <w:p w14:paraId="2ECD6C9E">
      <w:pPr>
        <w:jc w:val="both"/>
        <w:rPr>
          <w:b/>
          <w:sz w:val="20"/>
          <w:szCs w:val="20"/>
        </w:rPr>
      </w:pPr>
    </w:p>
    <w:p w14:paraId="509FDAF8">
      <w:pPr>
        <w:jc w:val="both"/>
        <w:rPr>
          <w:b/>
          <w:sz w:val="20"/>
          <w:szCs w:val="20"/>
        </w:rPr>
      </w:pPr>
      <w:r>
        <w:rPr>
          <w:sz w:val="20"/>
          <w:szCs w:val="20"/>
        </w:rPr>
        <w:t>B. O’Regan and M. Grätzel, “A low-cost, high-efficiency solar cell based on dye-sensitized colloidal TiO2 films,” Nature, vol. 353, no. 6346, pp. 737–740, Oct. 1991, doi: 10.1038/353737a0.</w:t>
      </w:r>
    </w:p>
    <w:p w14:paraId="600E25D3">
      <w:pPr>
        <w:jc w:val="both"/>
        <w:rPr>
          <w:b/>
          <w:sz w:val="20"/>
          <w:szCs w:val="20"/>
        </w:rPr>
      </w:pPr>
    </w:p>
    <w:p w14:paraId="0DE45B2E">
      <w:pPr>
        <w:jc w:val="both"/>
        <w:rPr>
          <w:b/>
          <w:sz w:val="20"/>
          <w:szCs w:val="20"/>
        </w:rPr>
      </w:pPr>
      <w:r>
        <w:rPr>
          <w:sz w:val="20"/>
          <w:szCs w:val="20"/>
          <w:shd w:val="clear" w:color="auto" w:fill="FFFFFF"/>
        </w:rPr>
        <w:t>Bae, E., Choi, W., Park, J., Shin, H. S., Kim, S. B., &amp; Lee, J. S. (2004). Effects of surface anchoring groups (carboxylate vs phosphonate) in ruthenium-complex-sensitized TiO2 on visible light reactivity in aqueous suspensions. </w:t>
      </w:r>
      <w:r>
        <w:rPr>
          <w:i/>
          <w:iCs/>
          <w:sz w:val="20"/>
          <w:szCs w:val="20"/>
          <w:shd w:val="clear" w:color="auto" w:fill="FFFFFF"/>
        </w:rPr>
        <w:t>The Journal of Physical Chemistry B</w:t>
      </w:r>
      <w:r>
        <w:rPr>
          <w:sz w:val="20"/>
          <w:szCs w:val="20"/>
          <w:shd w:val="clear" w:color="auto" w:fill="FFFFFF"/>
        </w:rPr>
        <w:t>, </w:t>
      </w:r>
      <w:r>
        <w:rPr>
          <w:i/>
          <w:iCs/>
          <w:sz w:val="20"/>
          <w:szCs w:val="20"/>
          <w:shd w:val="clear" w:color="auto" w:fill="FFFFFF"/>
        </w:rPr>
        <w:t>108</w:t>
      </w:r>
      <w:r>
        <w:rPr>
          <w:sz w:val="20"/>
          <w:szCs w:val="20"/>
          <w:shd w:val="clear" w:color="auto" w:fill="FFFFFF"/>
        </w:rPr>
        <w:t>(37), 14093-14101.</w:t>
      </w:r>
    </w:p>
    <w:p w14:paraId="3FFFF9CE">
      <w:pPr>
        <w:jc w:val="both"/>
        <w:rPr>
          <w:b/>
          <w:sz w:val="20"/>
          <w:szCs w:val="20"/>
        </w:rPr>
      </w:pPr>
    </w:p>
    <w:p w14:paraId="356F31D2">
      <w:pPr>
        <w:jc w:val="both"/>
        <w:rPr>
          <w:b/>
          <w:sz w:val="20"/>
          <w:szCs w:val="20"/>
        </w:rPr>
      </w:pPr>
      <w:r>
        <w:rPr>
          <w:sz w:val="20"/>
          <w:szCs w:val="20"/>
          <w:shd w:val="clear" w:color="auto" w:fill="FFFFFF"/>
        </w:rPr>
        <w:t>Briscoe, J., &amp; Dunn, S. (2016). The Future of Using Earth‐Abundant Elements in Counter Electrodes for Dye‐Sensitized Solar Cells. </w:t>
      </w:r>
      <w:r>
        <w:rPr>
          <w:i/>
          <w:iCs/>
          <w:sz w:val="20"/>
          <w:szCs w:val="20"/>
          <w:shd w:val="clear" w:color="auto" w:fill="FFFFFF"/>
        </w:rPr>
        <w:t>Advanced Materials</w:t>
      </w:r>
      <w:r>
        <w:rPr>
          <w:sz w:val="20"/>
          <w:szCs w:val="20"/>
          <w:shd w:val="clear" w:color="auto" w:fill="FFFFFF"/>
        </w:rPr>
        <w:t>, </w:t>
      </w:r>
      <w:r>
        <w:rPr>
          <w:i/>
          <w:iCs/>
          <w:sz w:val="20"/>
          <w:szCs w:val="20"/>
          <w:shd w:val="clear" w:color="auto" w:fill="FFFFFF"/>
        </w:rPr>
        <w:t>28</w:t>
      </w:r>
      <w:r>
        <w:rPr>
          <w:sz w:val="20"/>
          <w:szCs w:val="20"/>
          <w:shd w:val="clear" w:color="auto" w:fill="FFFFFF"/>
        </w:rPr>
        <w:t>(20), 3802-3813.</w:t>
      </w:r>
    </w:p>
    <w:p w14:paraId="24DE342F">
      <w:pPr>
        <w:jc w:val="both"/>
        <w:rPr>
          <w:b/>
          <w:sz w:val="20"/>
          <w:szCs w:val="20"/>
        </w:rPr>
      </w:pPr>
    </w:p>
    <w:p w14:paraId="61F2DDC0">
      <w:pPr>
        <w:jc w:val="both"/>
        <w:rPr>
          <w:b/>
          <w:sz w:val="20"/>
          <w:szCs w:val="20"/>
        </w:rPr>
      </w:pPr>
      <w:r>
        <w:rPr>
          <w:sz w:val="20"/>
          <w:szCs w:val="20"/>
          <w:shd w:val="clear" w:color="auto" w:fill="FFFFFF"/>
          <w:lang w:val="es-ES"/>
        </w:rPr>
        <w:t xml:space="preserve">Bykkam, S., Prasad, D. N., Maurya, M. R., Sadasivuni, K. K., &amp; Cabibihan, J. J. (2021). </w:t>
      </w:r>
      <w:r>
        <w:rPr>
          <w:sz w:val="20"/>
          <w:szCs w:val="20"/>
          <w:shd w:val="clear" w:color="auto" w:fill="FFFFFF"/>
        </w:rPr>
        <w:t>Comparison study of metal oxides (CeO2, CuO, SnO2, CdO, ZnO and TiO2) decked few layered graphene nanocomposites for dye-sensitized solar cells. </w:t>
      </w:r>
      <w:r>
        <w:rPr>
          <w:i/>
          <w:iCs/>
          <w:sz w:val="20"/>
          <w:szCs w:val="20"/>
          <w:shd w:val="clear" w:color="auto" w:fill="FFFFFF"/>
        </w:rPr>
        <w:t>Sustainability</w:t>
      </w:r>
      <w:r>
        <w:rPr>
          <w:sz w:val="20"/>
          <w:szCs w:val="20"/>
          <w:shd w:val="clear" w:color="auto" w:fill="FFFFFF"/>
        </w:rPr>
        <w:t>, </w:t>
      </w:r>
      <w:r>
        <w:rPr>
          <w:i/>
          <w:iCs/>
          <w:sz w:val="20"/>
          <w:szCs w:val="20"/>
          <w:shd w:val="clear" w:color="auto" w:fill="FFFFFF"/>
        </w:rPr>
        <w:t>13</w:t>
      </w:r>
      <w:r>
        <w:rPr>
          <w:sz w:val="20"/>
          <w:szCs w:val="20"/>
          <w:shd w:val="clear" w:color="auto" w:fill="FFFFFF"/>
        </w:rPr>
        <w:t>(14), 7685.</w:t>
      </w:r>
    </w:p>
    <w:p w14:paraId="42BCAC19">
      <w:pPr>
        <w:jc w:val="both"/>
        <w:rPr>
          <w:b/>
          <w:sz w:val="20"/>
          <w:szCs w:val="20"/>
        </w:rPr>
      </w:pPr>
    </w:p>
    <w:p w14:paraId="7C95F871">
      <w:pPr>
        <w:jc w:val="both"/>
        <w:rPr>
          <w:b/>
          <w:sz w:val="20"/>
          <w:szCs w:val="20"/>
        </w:rPr>
      </w:pPr>
      <w:r>
        <w:rPr>
          <w:sz w:val="20"/>
          <w:szCs w:val="20"/>
          <w:shd w:val="clear" w:color="auto" w:fill="FFFFFF"/>
        </w:rPr>
        <w:t>Canivet, J., &amp; Wisser, F. M. (2023). Metal–Organic Framework Catalysts for Solar Fuels: Light-Driven Conversion of Carbon Dioxide into Formic Acid. </w:t>
      </w:r>
      <w:r>
        <w:rPr>
          <w:i/>
          <w:iCs/>
          <w:sz w:val="20"/>
          <w:szCs w:val="20"/>
          <w:shd w:val="clear" w:color="auto" w:fill="FFFFFF"/>
        </w:rPr>
        <w:t>ACS Applied Energy Materials</w:t>
      </w:r>
      <w:r>
        <w:rPr>
          <w:sz w:val="20"/>
          <w:szCs w:val="20"/>
          <w:shd w:val="clear" w:color="auto" w:fill="FFFFFF"/>
        </w:rPr>
        <w:t>.</w:t>
      </w:r>
    </w:p>
    <w:p w14:paraId="773FA641">
      <w:pPr>
        <w:jc w:val="both"/>
        <w:rPr>
          <w:b/>
          <w:sz w:val="20"/>
          <w:szCs w:val="20"/>
        </w:rPr>
      </w:pPr>
    </w:p>
    <w:p w14:paraId="42B92154">
      <w:pPr>
        <w:jc w:val="both"/>
        <w:rPr>
          <w:rStyle w:val="25"/>
          <w:b/>
          <w:color w:val="auto"/>
          <w:sz w:val="20"/>
          <w:szCs w:val="20"/>
          <w:u w:val="none"/>
        </w:rPr>
      </w:pPr>
      <w:r>
        <w:rPr>
          <w:sz w:val="20"/>
          <w:szCs w:val="20"/>
        </w:rPr>
        <w:t xml:space="preserve">Carella, A., Borbone, F., &amp; Centore, R. (2018). Research Progress on Photosensitizers for DSSC. Frontiers in Chemistry, 6. </w:t>
      </w:r>
      <w:r>
        <w:fldChar w:fldCharType="begin"/>
      </w:r>
      <w:r>
        <w:instrText xml:space="preserve"> HYPERLINK "https://doi.org/10.3389/fchem.2018.00481" </w:instrText>
      </w:r>
      <w:r>
        <w:fldChar w:fldCharType="separate"/>
      </w:r>
      <w:r>
        <w:rPr>
          <w:rStyle w:val="25"/>
          <w:rFonts w:eastAsiaTheme="majorEastAsia"/>
          <w:color w:val="auto"/>
          <w:sz w:val="20"/>
          <w:szCs w:val="20"/>
        </w:rPr>
        <w:t>https://doi.org/10.3389/fchem.2018.00481</w:t>
      </w:r>
      <w:r>
        <w:rPr>
          <w:rStyle w:val="25"/>
          <w:rFonts w:eastAsiaTheme="majorEastAsia"/>
          <w:color w:val="auto"/>
          <w:sz w:val="20"/>
          <w:szCs w:val="20"/>
        </w:rPr>
        <w:fldChar w:fldCharType="end"/>
      </w:r>
    </w:p>
    <w:p w14:paraId="69C9EC90">
      <w:pPr>
        <w:jc w:val="both"/>
        <w:rPr>
          <w:rStyle w:val="25"/>
          <w:b/>
          <w:color w:val="auto"/>
          <w:sz w:val="20"/>
          <w:szCs w:val="20"/>
          <w:u w:val="none"/>
        </w:rPr>
      </w:pPr>
    </w:p>
    <w:p w14:paraId="2074C551">
      <w:pPr>
        <w:jc w:val="both"/>
        <w:rPr>
          <w:b/>
          <w:sz w:val="20"/>
          <w:szCs w:val="20"/>
        </w:rPr>
      </w:pPr>
      <w:r>
        <w:rPr>
          <w:sz w:val="20"/>
          <w:szCs w:val="20"/>
          <w:shd w:val="clear" w:color="auto" w:fill="FFFFFF"/>
        </w:rPr>
        <w:t>Cavallo, C., Di Pascasio, F., Latini, A., Bonomo, M., &amp; Dini, D. (2017). Nanostructured semiconductor materials for dye-sensitized solar cells. </w:t>
      </w:r>
      <w:r>
        <w:rPr>
          <w:i/>
          <w:iCs/>
          <w:sz w:val="20"/>
          <w:szCs w:val="20"/>
          <w:shd w:val="clear" w:color="auto" w:fill="FFFFFF"/>
        </w:rPr>
        <w:t>Journal of Nanomaterials</w:t>
      </w:r>
      <w:r>
        <w:rPr>
          <w:sz w:val="20"/>
          <w:szCs w:val="20"/>
          <w:shd w:val="clear" w:color="auto" w:fill="FFFFFF"/>
        </w:rPr>
        <w:t>, </w:t>
      </w:r>
      <w:r>
        <w:rPr>
          <w:i/>
          <w:iCs/>
          <w:sz w:val="20"/>
          <w:szCs w:val="20"/>
          <w:shd w:val="clear" w:color="auto" w:fill="FFFFFF"/>
        </w:rPr>
        <w:t>2017</w:t>
      </w:r>
      <w:r>
        <w:rPr>
          <w:sz w:val="20"/>
          <w:szCs w:val="20"/>
          <w:shd w:val="clear" w:color="auto" w:fill="FFFFFF"/>
        </w:rPr>
        <w:t>.</w:t>
      </w:r>
    </w:p>
    <w:p w14:paraId="516BDFD2">
      <w:pPr>
        <w:jc w:val="both"/>
        <w:rPr>
          <w:b/>
          <w:sz w:val="20"/>
          <w:szCs w:val="20"/>
        </w:rPr>
      </w:pPr>
    </w:p>
    <w:p w14:paraId="454738AB">
      <w:pPr>
        <w:jc w:val="both"/>
        <w:rPr>
          <w:b/>
          <w:sz w:val="20"/>
          <w:szCs w:val="20"/>
        </w:rPr>
      </w:pPr>
      <w:r>
        <w:rPr>
          <w:sz w:val="20"/>
          <w:szCs w:val="20"/>
          <w:shd w:val="clear" w:color="auto" w:fill="FFFFFF"/>
        </w:rPr>
        <w:t>Chai, Q., Li, W., Zhu, S., Zhang, Q., &amp; Zhu, W. (2014). Influence of Donor Configurations on Photophysical, Electrochemical, and Photovoltaic Performances in D− π–A Organic Sensitizers. </w:t>
      </w:r>
      <w:r>
        <w:rPr>
          <w:i/>
          <w:iCs/>
          <w:sz w:val="20"/>
          <w:szCs w:val="20"/>
          <w:shd w:val="clear" w:color="auto" w:fill="FFFFFF"/>
        </w:rPr>
        <w:t>ACS Sustainable Chemistry &amp; Engineering</w:t>
      </w:r>
      <w:r>
        <w:rPr>
          <w:sz w:val="20"/>
          <w:szCs w:val="20"/>
          <w:shd w:val="clear" w:color="auto" w:fill="FFFFFF"/>
        </w:rPr>
        <w:t>, </w:t>
      </w:r>
      <w:r>
        <w:rPr>
          <w:i/>
          <w:iCs/>
          <w:sz w:val="20"/>
          <w:szCs w:val="20"/>
          <w:shd w:val="clear" w:color="auto" w:fill="FFFFFF"/>
        </w:rPr>
        <w:t>2</w:t>
      </w:r>
      <w:r>
        <w:rPr>
          <w:sz w:val="20"/>
          <w:szCs w:val="20"/>
          <w:shd w:val="clear" w:color="auto" w:fill="FFFFFF"/>
        </w:rPr>
        <w:t>(2), 239-247.</w:t>
      </w:r>
    </w:p>
    <w:p w14:paraId="720AFD84">
      <w:pPr>
        <w:jc w:val="both"/>
        <w:rPr>
          <w:b/>
          <w:sz w:val="20"/>
          <w:szCs w:val="20"/>
        </w:rPr>
      </w:pPr>
    </w:p>
    <w:p w14:paraId="2BE81D7D">
      <w:pPr>
        <w:jc w:val="both"/>
        <w:rPr>
          <w:b/>
          <w:sz w:val="20"/>
          <w:szCs w:val="20"/>
        </w:rPr>
      </w:pPr>
      <w:r>
        <w:rPr>
          <w:sz w:val="20"/>
          <w:szCs w:val="20"/>
          <w:shd w:val="clear" w:color="auto" w:fill="FFFFFF"/>
          <w:lang w:val="es-ES"/>
        </w:rPr>
        <w:t xml:space="preserve">Chala, G. T., &amp; Al Alshaikh, S. M. (2023). </w:t>
      </w:r>
      <w:r>
        <w:rPr>
          <w:sz w:val="20"/>
          <w:szCs w:val="20"/>
          <w:shd w:val="clear" w:color="auto" w:fill="FFFFFF"/>
        </w:rPr>
        <w:t>Solar Photovoltaic Energy as a Promising Enhanced Share of Clean Energy Sources in the Future—A Comprehensive Review. </w:t>
      </w:r>
      <w:r>
        <w:rPr>
          <w:i/>
          <w:iCs/>
          <w:sz w:val="20"/>
          <w:szCs w:val="20"/>
          <w:shd w:val="clear" w:color="auto" w:fill="FFFFFF"/>
        </w:rPr>
        <w:t>Energies</w:t>
      </w:r>
      <w:r>
        <w:rPr>
          <w:sz w:val="20"/>
          <w:szCs w:val="20"/>
          <w:shd w:val="clear" w:color="auto" w:fill="FFFFFF"/>
        </w:rPr>
        <w:t>, </w:t>
      </w:r>
      <w:r>
        <w:rPr>
          <w:i/>
          <w:iCs/>
          <w:sz w:val="20"/>
          <w:szCs w:val="20"/>
          <w:shd w:val="clear" w:color="auto" w:fill="FFFFFF"/>
        </w:rPr>
        <w:t>16</w:t>
      </w:r>
      <w:r>
        <w:rPr>
          <w:sz w:val="20"/>
          <w:szCs w:val="20"/>
          <w:shd w:val="clear" w:color="auto" w:fill="FFFFFF"/>
        </w:rPr>
        <w:t>(24), 7919.</w:t>
      </w:r>
    </w:p>
    <w:p w14:paraId="1E07DDED">
      <w:pPr>
        <w:jc w:val="both"/>
        <w:rPr>
          <w:b/>
          <w:sz w:val="20"/>
          <w:szCs w:val="20"/>
        </w:rPr>
      </w:pPr>
    </w:p>
    <w:p w14:paraId="15E9A272">
      <w:pPr>
        <w:jc w:val="both"/>
        <w:rPr>
          <w:b/>
          <w:sz w:val="20"/>
          <w:szCs w:val="20"/>
        </w:rPr>
      </w:pPr>
      <w:r>
        <w:rPr>
          <w:sz w:val="20"/>
          <w:szCs w:val="20"/>
          <w:shd w:val="clear" w:color="auto" w:fill="FFFFFF"/>
        </w:rPr>
        <w:t>Chang, J., Lee, C. P., Kumar, D., Chen, P. W., Lin, L. Y., Thomas, K. J., &amp; Ho, K. C. (2013). Co-sensitization promoted light harvesting for organic dye-sensitized solar cells using unsymmetrical squaraine dye and novel pyrenoimidazole-based dye. </w:t>
      </w:r>
      <w:r>
        <w:rPr>
          <w:i/>
          <w:iCs/>
          <w:sz w:val="20"/>
          <w:szCs w:val="20"/>
          <w:shd w:val="clear" w:color="auto" w:fill="FFFFFF"/>
        </w:rPr>
        <w:t>Journal of Power Sources</w:t>
      </w:r>
      <w:r>
        <w:rPr>
          <w:sz w:val="20"/>
          <w:szCs w:val="20"/>
          <w:shd w:val="clear" w:color="auto" w:fill="FFFFFF"/>
        </w:rPr>
        <w:t>, </w:t>
      </w:r>
      <w:r>
        <w:rPr>
          <w:i/>
          <w:iCs/>
          <w:sz w:val="20"/>
          <w:szCs w:val="20"/>
          <w:shd w:val="clear" w:color="auto" w:fill="FFFFFF"/>
        </w:rPr>
        <w:t>240</w:t>
      </w:r>
      <w:r>
        <w:rPr>
          <w:sz w:val="20"/>
          <w:szCs w:val="20"/>
          <w:shd w:val="clear" w:color="auto" w:fill="FFFFFF"/>
        </w:rPr>
        <w:t>, 779-785.</w:t>
      </w:r>
    </w:p>
    <w:p w14:paraId="6F8CD891">
      <w:pPr>
        <w:jc w:val="both"/>
        <w:rPr>
          <w:b/>
          <w:sz w:val="20"/>
          <w:szCs w:val="20"/>
        </w:rPr>
      </w:pPr>
      <w:r>
        <mc:AlternateContent>
          <mc:Choice Requires="wps">
            <w:drawing>
              <wp:anchor distT="0" distB="0" distL="114300" distR="114300" simplePos="0" relativeHeight="251689984" behindDoc="0" locked="0" layoutInCell="1" allowOverlap="1">
                <wp:simplePos x="0" y="0"/>
                <wp:positionH relativeFrom="column">
                  <wp:posOffset>2851150</wp:posOffset>
                </wp:positionH>
                <wp:positionV relativeFrom="paragraph">
                  <wp:posOffset>558800</wp:posOffset>
                </wp:positionV>
                <wp:extent cx="495300" cy="316230"/>
                <wp:effectExtent l="0" t="0" r="0" b="0"/>
                <wp:wrapNone/>
                <wp:docPr id="139467571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E9975EB">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5pt;margin-top:44pt;height:24.9pt;width:39pt;z-index:251689984;mso-width-relative:page;mso-height-relative:page;" filled="f" stroked="f" coordsize="21600,21600" o:gfxdata="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KvKf6dsAAAAKAQAADwAAAAAAAAABACAAAAAiAAAAZHJzL2Rvd25yZXYu&#10;eG1sUEsBAhQAFAAAAAgAh07iQBjpipAxAgAAbQQAAA4AAAAAAAAAAQAgAAAAKgEAAGRycy9lMm9E&#10;b2MueG1sUEsFBgAAAAAGAAYAWQEAAM0FAAAAAA==&#10;">
                <v:fill on="f" focussize="0,0"/>
                <v:stroke on="f" weight="0.5pt"/>
                <v:imagedata o:title=""/>
                <o:lock v:ext="edit" aspectratio="f"/>
                <v:textbox>
                  <w:txbxContent>
                    <w:p w14:paraId="3E9975EB">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289</w:t>
                      </w:r>
                    </w:p>
                  </w:txbxContent>
                </v:textbox>
              </v:shape>
            </w:pict>
          </mc:Fallback>
        </mc:AlternateContent>
      </w:r>
    </w:p>
    <w:p w14:paraId="3C3170CE">
      <w:pPr>
        <w:jc w:val="both"/>
        <w:rPr>
          <w:b/>
          <w:sz w:val="20"/>
          <w:szCs w:val="20"/>
        </w:rPr>
      </w:pPr>
      <w:r>
        <w:rPr>
          <w:sz w:val="20"/>
          <w:szCs w:val="20"/>
          <w:shd w:val="clear" w:color="auto" w:fill="FFFFFF"/>
        </w:rPr>
        <w:t>Chawla, P., &amp; Tripathi, M. (2015). Novel improvements in the sensitizers of dye‐sensitized solar cells for enhancement in efficiency—a review. </w:t>
      </w:r>
      <w:r>
        <w:rPr>
          <w:i/>
          <w:iCs/>
          <w:sz w:val="20"/>
          <w:szCs w:val="20"/>
          <w:shd w:val="clear" w:color="auto" w:fill="FFFFFF"/>
        </w:rPr>
        <w:t>International Journal of Energy Research</w:t>
      </w:r>
      <w:r>
        <w:rPr>
          <w:sz w:val="20"/>
          <w:szCs w:val="20"/>
          <w:shd w:val="clear" w:color="auto" w:fill="FFFFFF"/>
        </w:rPr>
        <w:t>, </w:t>
      </w:r>
      <w:r>
        <w:rPr>
          <w:i/>
          <w:iCs/>
          <w:sz w:val="20"/>
          <w:szCs w:val="20"/>
          <w:shd w:val="clear" w:color="auto" w:fill="FFFFFF"/>
        </w:rPr>
        <w:t>39</w:t>
      </w:r>
      <w:r>
        <w:rPr>
          <w:sz w:val="20"/>
          <w:szCs w:val="20"/>
          <w:shd w:val="clear" w:color="auto" w:fill="FFFFFF"/>
        </w:rPr>
        <w:t>(12), 1579-1596.</w:t>
      </w:r>
    </w:p>
    <w:p w14:paraId="4A917E3E">
      <w:pPr>
        <w:jc w:val="both"/>
        <w:rPr>
          <w:b/>
          <w:sz w:val="20"/>
          <w:szCs w:val="20"/>
        </w:rPr>
      </w:pPr>
    </w:p>
    <w:p w14:paraId="5AAE368D">
      <w:pPr>
        <w:jc w:val="both"/>
        <w:rPr>
          <w:b/>
          <w:sz w:val="20"/>
          <w:szCs w:val="20"/>
        </w:rPr>
      </w:pPr>
      <w:r>
        <w:rPr>
          <w:sz w:val="20"/>
          <w:szCs w:val="20"/>
          <w:shd w:val="clear" w:color="auto" w:fill="FFFFFF"/>
        </w:rPr>
        <w:t>Chen, A., &amp; Holt-Hindle, P. (2010). Platinum-based nanostructured materials: synthesis, properties, and applications. </w:t>
      </w:r>
      <w:r>
        <w:rPr>
          <w:i/>
          <w:iCs/>
          <w:sz w:val="20"/>
          <w:szCs w:val="20"/>
          <w:shd w:val="clear" w:color="auto" w:fill="FFFFFF"/>
        </w:rPr>
        <w:t>Chemical reviews</w:t>
      </w:r>
      <w:r>
        <w:rPr>
          <w:sz w:val="20"/>
          <w:szCs w:val="20"/>
          <w:shd w:val="clear" w:color="auto" w:fill="FFFFFF"/>
        </w:rPr>
        <w:t>, </w:t>
      </w:r>
      <w:r>
        <w:rPr>
          <w:i/>
          <w:iCs/>
          <w:sz w:val="20"/>
          <w:szCs w:val="20"/>
          <w:shd w:val="clear" w:color="auto" w:fill="FFFFFF"/>
        </w:rPr>
        <w:t>110</w:t>
      </w:r>
      <w:r>
        <w:rPr>
          <w:sz w:val="20"/>
          <w:szCs w:val="20"/>
          <w:shd w:val="clear" w:color="auto" w:fill="FFFFFF"/>
        </w:rPr>
        <w:t>(6), 3767-3804.</w:t>
      </w:r>
    </w:p>
    <w:p w14:paraId="1DD3DB07">
      <w:pPr>
        <w:jc w:val="both"/>
        <w:rPr>
          <w:b/>
          <w:sz w:val="20"/>
          <w:szCs w:val="20"/>
        </w:rPr>
      </w:pPr>
    </w:p>
    <w:p w14:paraId="72D74792">
      <w:pPr>
        <w:jc w:val="both"/>
        <w:rPr>
          <w:b/>
          <w:sz w:val="20"/>
          <w:szCs w:val="20"/>
        </w:rPr>
      </w:pPr>
      <w:r>
        <w:rPr>
          <w:sz w:val="20"/>
          <w:szCs w:val="20"/>
          <w:shd w:val="clear" w:color="auto" w:fill="FFFFFF"/>
        </w:rPr>
        <w:t>Chen, C. J. (2011). </w:t>
      </w:r>
      <w:r>
        <w:rPr>
          <w:i/>
          <w:iCs/>
          <w:sz w:val="20"/>
          <w:szCs w:val="20"/>
          <w:shd w:val="clear" w:color="auto" w:fill="FFFFFF"/>
        </w:rPr>
        <w:t>Physics of solar energy</w:t>
      </w:r>
      <w:r>
        <w:rPr>
          <w:sz w:val="20"/>
          <w:szCs w:val="20"/>
          <w:shd w:val="clear" w:color="auto" w:fill="FFFFFF"/>
        </w:rPr>
        <w:t>. John Wiley &amp; Sons.</w:t>
      </w:r>
    </w:p>
    <w:p w14:paraId="38574FBC">
      <w:pPr>
        <w:jc w:val="both"/>
        <w:rPr>
          <w:b/>
          <w:sz w:val="20"/>
          <w:szCs w:val="20"/>
        </w:rPr>
      </w:pPr>
    </w:p>
    <w:p w14:paraId="4B62B5DF">
      <w:pPr>
        <w:jc w:val="both"/>
        <w:rPr>
          <w:b/>
          <w:sz w:val="20"/>
          <w:szCs w:val="20"/>
        </w:rPr>
      </w:pPr>
      <w:r>
        <w:rPr>
          <w:sz w:val="20"/>
          <w:szCs w:val="20"/>
          <w:shd w:val="clear" w:color="auto" w:fill="FFFFFF"/>
        </w:rPr>
        <w:t>Chen, S. G., Jia, H. L., Ju, X. H., &amp; Zheng, H. G. (2017). The impact of adjusting auxiliary donors on the performance of dye-sensitized solar cells based on phenothiazine DD-π-A sensitizers. </w:t>
      </w:r>
      <w:r>
        <w:rPr>
          <w:i/>
          <w:iCs/>
          <w:sz w:val="20"/>
          <w:szCs w:val="20"/>
          <w:shd w:val="clear" w:color="auto" w:fill="FFFFFF"/>
        </w:rPr>
        <w:t>Dyes and Pigments</w:t>
      </w:r>
      <w:r>
        <w:rPr>
          <w:sz w:val="20"/>
          <w:szCs w:val="20"/>
          <w:shd w:val="clear" w:color="auto" w:fill="FFFFFF"/>
        </w:rPr>
        <w:t>, </w:t>
      </w:r>
      <w:r>
        <w:rPr>
          <w:i/>
          <w:iCs/>
          <w:sz w:val="20"/>
          <w:szCs w:val="20"/>
          <w:shd w:val="clear" w:color="auto" w:fill="FFFFFF"/>
        </w:rPr>
        <w:t>146</w:t>
      </w:r>
      <w:r>
        <w:rPr>
          <w:sz w:val="20"/>
          <w:szCs w:val="20"/>
          <w:shd w:val="clear" w:color="auto" w:fill="FFFFFF"/>
        </w:rPr>
        <w:t>, 127-135.</w:t>
      </w:r>
    </w:p>
    <w:p w14:paraId="74C50766">
      <w:pPr>
        <w:jc w:val="both"/>
        <w:rPr>
          <w:b/>
          <w:sz w:val="20"/>
          <w:szCs w:val="20"/>
        </w:rPr>
      </w:pPr>
    </w:p>
    <w:p w14:paraId="04EA041D">
      <w:pPr>
        <w:jc w:val="both"/>
        <w:rPr>
          <w:sz w:val="20"/>
          <w:szCs w:val="20"/>
        </w:rPr>
      </w:pPr>
      <w:r>
        <w:rPr>
          <w:sz w:val="20"/>
          <w:szCs w:val="20"/>
        </w:rPr>
        <w:t xml:space="preserve">Chen, Z., Deutsch, T. G., Dinh, H. N., Domen, K., Emery, K., Forman, A. J., Gaillard, N., Garland, R., Clemens Heske, Jaramillo, T. F., Kleiman-Shwarsctein, A., Miller, E., Kazuhiro Takanabe, &amp; Turner, J. (2013). Incident Photon-to-Current Efficiency and Photocurrent Spectroscopy. SpringerBriefs in Energy, 87–97. </w:t>
      </w:r>
      <w:r>
        <w:fldChar w:fldCharType="begin"/>
      </w:r>
      <w:r>
        <w:instrText xml:space="preserve"> HYPERLINK "https://doi.org/10.1007/978-1-4614-8298-7_7" </w:instrText>
      </w:r>
      <w:r>
        <w:fldChar w:fldCharType="separate"/>
      </w:r>
      <w:r>
        <w:rPr>
          <w:rStyle w:val="25"/>
          <w:rFonts w:eastAsiaTheme="majorEastAsia"/>
          <w:color w:val="auto"/>
          <w:sz w:val="20"/>
          <w:szCs w:val="20"/>
        </w:rPr>
        <w:t>https://doi.org/10.1007/978-1-4614-8298-7_7</w:t>
      </w:r>
      <w:r>
        <w:rPr>
          <w:rStyle w:val="25"/>
          <w:rFonts w:eastAsiaTheme="majorEastAsia"/>
          <w:color w:val="auto"/>
          <w:sz w:val="20"/>
          <w:szCs w:val="20"/>
        </w:rPr>
        <w:fldChar w:fldCharType="end"/>
      </w:r>
    </w:p>
    <w:p w14:paraId="15477E4C">
      <w:pPr>
        <w:jc w:val="both"/>
        <w:rPr>
          <w:sz w:val="20"/>
          <w:szCs w:val="20"/>
        </w:rPr>
      </w:pPr>
    </w:p>
    <w:p w14:paraId="49F416BF">
      <w:pPr>
        <w:jc w:val="both"/>
        <w:rPr>
          <w:sz w:val="20"/>
          <w:szCs w:val="20"/>
        </w:rPr>
      </w:pPr>
      <w:r>
        <w:rPr>
          <w:sz w:val="20"/>
          <w:szCs w:val="20"/>
          <w:shd w:val="clear" w:color="auto" w:fill="FFFFFF"/>
        </w:rPr>
        <w:t>Cheng, H. M., Chiu, W. H., Lee, C. H., Tsai, S. Y., &amp; Hsieh, W. F. (2008). Formation of branched ZnO nanowires from solvothermal method and dye-sensitized solar cells applications. </w:t>
      </w:r>
      <w:r>
        <w:rPr>
          <w:i/>
          <w:iCs/>
          <w:sz w:val="20"/>
          <w:szCs w:val="20"/>
          <w:shd w:val="clear" w:color="auto" w:fill="FFFFFF"/>
        </w:rPr>
        <w:t>The Journal of Physical Chemistry C</w:t>
      </w:r>
      <w:r>
        <w:rPr>
          <w:sz w:val="20"/>
          <w:szCs w:val="20"/>
          <w:shd w:val="clear" w:color="auto" w:fill="FFFFFF"/>
        </w:rPr>
        <w:t>, </w:t>
      </w:r>
      <w:r>
        <w:rPr>
          <w:i/>
          <w:iCs/>
          <w:sz w:val="20"/>
          <w:szCs w:val="20"/>
          <w:shd w:val="clear" w:color="auto" w:fill="FFFFFF"/>
        </w:rPr>
        <w:t>112</w:t>
      </w:r>
      <w:r>
        <w:rPr>
          <w:sz w:val="20"/>
          <w:szCs w:val="20"/>
          <w:shd w:val="clear" w:color="auto" w:fill="FFFFFF"/>
        </w:rPr>
        <w:t>(42), 16359-16364.</w:t>
      </w:r>
    </w:p>
    <w:p w14:paraId="50D7540B">
      <w:pPr>
        <w:jc w:val="both"/>
        <w:rPr>
          <w:sz w:val="20"/>
          <w:szCs w:val="20"/>
        </w:rPr>
      </w:pPr>
    </w:p>
    <w:p w14:paraId="4D7613CC">
      <w:pPr>
        <w:jc w:val="both"/>
        <w:rPr>
          <w:sz w:val="20"/>
          <w:szCs w:val="20"/>
        </w:rPr>
      </w:pPr>
      <w:r>
        <w:rPr>
          <w:sz w:val="20"/>
          <w:szCs w:val="20"/>
          <w:shd w:val="clear" w:color="auto" w:fill="FFFFFF"/>
        </w:rPr>
        <w:t>Cheung, K. C., Guo, P., So, M. H., Zhou, Z. Y., Lee, L. Y. S., &amp; Wong, K. Y. (2012). Ruthenium Terpyridine Complexes Containing a Pyrrole-Tagged 2, 2′-Dipyridylamine Ligand Synthesis, Crystal Structure, and Electrochemistry. </w:t>
      </w:r>
      <w:r>
        <w:rPr>
          <w:i/>
          <w:iCs/>
          <w:sz w:val="20"/>
          <w:szCs w:val="20"/>
          <w:shd w:val="clear" w:color="auto" w:fill="FFFFFF"/>
        </w:rPr>
        <w:t>Inorganic Chemistry</w:t>
      </w:r>
      <w:r>
        <w:rPr>
          <w:sz w:val="20"/>
          <w:szCs w:val="20"/>
          <w:shd w:val="clear" w:color="auto" w:fill="FFFFFF"/>
        </w:rPr>
        <w:t>, </w:t>
      </w:r>
      <w:r>
        <w:rPr>
          <w:i/>
          <w:iCs/>
          <w:sz w:val="20"/>
          <w:szCs w:val="20"/>
          <w:shd w:val="clear" w:color="auto" w:fill="FFFFFF"/>
        </w:rPr>
        <w:t>51</w:t>
      </w:r>
      <w:r>
        <w:rPr>
          <w:sz w:val="20"/>
          <w:szCs w:val="20"/>
          <w:shd w:val="clear" w:color="auto" w:fill="FFFFFF"/>
        </w:rPr>
        <w:t>(12), 6468-6475.</w:t>
      </w:r>
    </w:p>
    <w:p w14:paraId="19AB8263">
      <w:pPr>
        <w:jc w:val="both"/>
        <w:rPr>
          <w:sz w:val="20"/>
          <w:szCs w:val="20"/>
        </w:rPr>
      </w:pPr>
    </w:p>
    <w:p w14:paraId="7C21268E">
      <w:pPr>
        <w:jc w:val="both"/>
        <w:rPr>
          <w:sz w:val="20"/>
          <w:szCs w:val="20"/>
        </w:rPr>
      </w:pPr>
      <w:r>
        <w:rPr>
          <w:sz w:val="20"/>
          <w:szCs w:val="20"/>
          <w:shd w:val="clear" w:color="auto" w:fill="FFFFFF"/>
          <w:lang w:val="fr-FR"/>
        </w:rPr>
        <w:t xml:space="preserve">Chougala, L. S., Yatnatti, M. S., Linganagoudar, R. K., Kamble, R. R., &amp; Kadadevarmath, J. S. (2017). </w:t>
      </w:r>
      <w:r>
        <w:rPr>
          <w:sz w:val="20"/>
          <w:szCs w:val="20"/>
          <w:shd w:val="clear" w:color="auto" w:fill="FFFFFF"/>
        </w:rPr>
        <w:t>A simple approach on synthesis of TiO2 nanoparticles and its application in dye sensitized solar cells. </w:t>
      </w:r>
      <w:r>
        <w:rPr>
          <w:i/>
          <w:iCs/>
          <w:sz w:val="20"/>
          <w:szCs w:val="20"/>
          <w:shd w:val="clear" w:color="auto" w:fill="FFFFFF"/>
        </w:rPr>
        <w:t>Journal of Nano-and Electronic Physics</w:t>
      </w:r>
      <w:r>
        <w:rPr>
          <w:sz w:val="20"/>
          <w:szCs w:val="20"/>
          <w:shd w:val="clear" w:color="auto" w:fill="FFFFFF"/>
        </w:rPr>
        <w:t>, </w:t>
      </w:r>
      <w:r>
        <w:rPr>
          <w:i/>
          <w:iCs/>
          <w:sz w:val="20"/>
          <w:szCs w:val="20"/>
          <w:shd w:val="clear" w:color="auto" w:fill="FFFFFF"/>
        </w:rPr>
        <w:t>9</w:t>
      </w:r>
      <w:r>
        <w:rPr>
          <w:sz w:val="20"/>
          <w:szCs w:val="20"/>
          <w:shd w:val="clear" w:color="auto" w:fill="FFFFFF"/>
        </w:rPr>
        <w:t>(4), 4005-1.</w:t>
      </w:r>
    </w:p>
    <w:p w14:paraId="55DBFC87">
      <w:pPr>
        <w:jc w:val="both"/>
        <w:rPr>
          <w:sz w:val="20"/>
          <w:szCs w:val="20"/>
        </w:rPr>
      </w:pPr>
    </w:p>
    <w:p w14:paraId="18FB1459">
      <w:pPr>
        <w:jc w:val="both"/>
        <w:rPr>
          <w:sz w:val="20"/>
          <w:szCs w:val="20"/>
        </w:rPr>
      </w:pPr>
      <w:r>
        <w:rPr>
          <w:sz w:val="20"/>
          <w:szCs w:val="20"/>
          <w:shd w:val="clear" w:color="auto" w:fill="FFFFFF"/>
        </w:rPr>
        <w:t>Christensen, S. T., Elam, J. W., Rabuffetti, F. A., Ma, Q., Weigand, S. J., Lee, B., ... &amp; Bedzyk, M. J. (2009). Controlled growth of platinum nanoparticles on strontium titanate nanocubes by atomic layer deposition. </w:t>
      </w:r>
      <w:r>
        <w:rPr>
          <w:i/>
          <w:iCs/>
          <w:sz w:val="20"/>
          <w:szCs w:val="20"/>
          <w:shd w:val="clear" w:color="auto" w:fill="FFFFFF"/>
        </w:rPr>
        <w:t>small</w:t>
      </w:r>
      <w:r>
        <w:rPr>
          <w:sz w:val="20"/>
          <w:szCs w:val="20"/>
          <w:shd w:val="clear" w:color="auto" w:fill="FFFFFF"/>
        </w:rPr>
        <w:t>, </w:t>
      </w:r>
      <w:r>
        <w:rPr>
          <w:i/>
          <w:iCs/>
          <w:sz w:val="20"/>
          <w:szCs w:val="20"/>
          <w:shd w:val="clear" w:color="auto" w:fill="FFFFFF"/>
        </w:rPr>
        <w:t>5</w:t>
      </w:r>
      <w:r>
        <w:rPr>
          <w:sz w:val="20"/>
          <w:szCs w:val="20"/>
          <w:shd w:val="clear" w:color="auto" w:fill="FFFFFF"/>
        </w:rPr>
        <w:t>(6), 750-757.</w:t>
      </w:r>
    </w:p>
    <w:p w14:paraId="37CF7085">
      <w:pPr>
        <w:jc w:val="both"/>
        <w:rPr>
          <w:sz w:val="20"/>
          <w:szCs w:val="20"/>
        </w:rPr>
      </w:pPr>
    </w:p>
    <w:p w14:paraId="2C2C52BE">
      <w:pPr>
        <w:jc w:val="both"/>
        <w:rPr>
          <w:sz w:val="20"/>
          <w:szCs w:val="20"/>
        </w:rPr>
      </w:pPr>
      <w:r>
        <w:rPr>
          <w:sz w:val="20"/>
          <w:szCs w:val="20"/>
          <w:shd w:val="clear" w:color="auto" w:fill="FFFFFF"/>
        </w:rPr>
        <w:t>Chu, S., &amp; Majumdar, A. (2012). Opportunities and challenges for a sustainable energy future. </w:t>
      </w:r>
      <w:r>
        <w:rPr>
          <w:i/>
          <w:iCs/>
          <w:sz w:val="20"/>
          <w:szCs w:val="20"/>
          <w:shd w:val="clear" w:color="auto" w:fill="FFFFFF"/>
        </w:rPr>
        <w:t>nature</w:t>
      </w:r>
      <w:r>
        <w:rPr>
          <w:sz w:val="20"/>
          <w:szCs w:val="20"/>
          <w:shd w:val="clear" w:color="auto" w:fill="FFFFFF"/>
        </w:rPr>
        <w:t>, </w:t>
      </w:r>
      <w:r>
        <w:rPr>
          <w:i/>
          <w:iCs/>
          <w:sz w:val="20"/>
          <w:szCs w:val="20"/>
          <w:shd w:val="clear" w:color="auto" w:fill="FFFFFF"/>
        </w:rPr>
        <w:t>488</w:t>
      </w:r>
      <w:r>
        <w:rPr>
          <w:sz w:val="20"/>
          <w:szCs w:val="20"/>
          <w:shd w:val="clear" w:color="auto" w:fill="FFFFFF"/>
        </w:rPr>
        <w:t>(7411), 294-303.</w:t>
      </w:r>
    </w:p>
    <w:p w14:paraId="2CDEE80F">
      <w:pPr>
        <w:jc w:val="both"/>
        <w:rPr>
          <w:sz w:val="20"/>
          <w:szCs w:val="20"/>
        </w:rPr>
      </w:pPr>
    </w:p>
    <w:p w14:paraId="49608961">
      <w:pPr>
        <w:jc w:val="both"/>
        <w:rPr>
          <w:sz w:val="20"/>
          <w:szCs w:val="20"/>
          <w:shd w:val="clear" w:color="auto" w:fill="FFFFFF"/>
        </w:rPr>
      </w:pPr>
      <w:r>
        <w:rPr>
          <w:sz w:val="20"/>
          <w:szCs w:val="20"/>
          <w:shd w:val="clear" w:color="auto" w:fill="FFFFFF"/>
        </w:rPr>
        <w:t>Clifford, J. N., Martínez-Ferrero, E., Viterisi, A., &amp; Palomares, E. (2011). Sensitizer molecular structure-device efficiency relationship in dye sensitized solar cells. </w:t>
      </w:r>
      <w:r>
        <w:rPr>
          <w:i/>
          <w:iCs/>
          <w:sz w:val="20"/>
          <w:szCs w:val="20"/>
          <w:shd w:val="clear" w:color="auto" w:fill="FFFFFF"/>
        </w:rPr>
        <w:t>Chemical Society Reviews</w:t>
      </w:r>
      <w:r>
        <w:rPr>
          <w:sz w:val="20"/>
          <w:szCs w:val="20"/>
          <w:shd w:val="clear" w:color="auto" w:fill="FFFFFF"/>
        </w:rPr>
        <w:t>, </w:t>
      </w:r>
      <w:r>
        <w:rPr>
          <w:i/>
          <w:iCs/>
          <w:sz w:val="20"/>
          <w:szCs w:val="20"/>
          <w:shd w:val="clear" w:color="auto" w:fill="FFFFFF"/>
        </w:rPr>
        <w:t>40</w:t>
      </w:r>
      <w:r>
        <w:rPr>
          <w:sz w:val="20"/>
          <w:szCs w:val="20"/>
          <w:shd w:val="clear" w:color="auto" w:fill="FFFFFF"/>
        </w:rPr>
        <w:t>(3), 1635-1646.</w:t>
      </w:r>
    </w:p>
    <w:p w14:paraId="1B7D71C5">
      <w:pPr>
        <w:jc w:val="both"/>
        <w:rPr>
          <w:sz w:val="20"/>
          <w:szCs w:val="20"/>
          <w:shd w:val="clear" w:color="auto" w:fill="FFFFFF"/>
        </w:rPr>
      </w:pPr>
    </w:p>
    <w:p w14:paraId="0B668C2F">
      <w:pPr>
        <w:jc w:val="both"/>
        <w:rPr>
          <w:sz w:val="20"/>
          <w:szCs w:val="20"/>
        </w:rPr>
      </w:pPr>
      <w:r>
        <w:rPr>
          <w:sz w:val="20"/>
          <w:szCs w:val="20"/>
          <w:shd w:val="clear" w:color="auto" w:fill="FFFFFF"/>
          <w:lang w:val="pt-PT"/>
        </w:rPr>
        <w:t xml:space="preserve">Dragonetti, C., Magni, M., Colombo, A., Fagnani, F., Roberto, D., Melchiorre, F., ... </w:t>
      </w:r>
      <w:r>
        <w:rPr>
          <w:sz w:val="20"/>
          <w:szCs w:val="20"/>
          <w:shd w:val="clear" w:color="auto" w:fill="FFFFFF"/>
        </w:rPr>
        <w:t>&amp; Fantacci, S. (2019). Towards efficient sustainable full-copper dye-sensitized solar cells. </w:t>
      </w:r>
      <w:r>
        <w:rPr>
          <w:i/>
          <w:iCs/>
          <w:sz w:val="20"/>
          <w:szCs w:val="20"/>
          <w:shd w:val="clear" w:color="auto" w:fill="FFFFFF"/>
        </w:rPr>
        <w:t>Dalton Transactions</w:t>
      </w:r>
      <w:r>
        <w:rPr>
          <w:sz w:val="20"/>
          <w:szCs w:val="20"/>
          <w:shd w:val="clear" w:color="auto" w:fill="FFFFFF"/>
        </w:rPr>
        <w:t>, </w:t>
      </w:r>
      <w:r>
        <w:rPr>
          <w:i/>
          <w:iCs/>
          <w:sz w:val="20"/>
          <w:szCs w:val="20"/>
          <w:shd w:val="clear" w:color="auto" w:fill="FFFFFF"/>
        </w:rPr>
        <w:t>48</w:t>
      </w:r>
      <w:r>
        <w:rPr>
          <w:sz w:val="20"/>
          <w:szCs w:val="20"/>
          <w:shd w:val="clear" w:color="auto" w:fill="FFFFFF"/>
        </w:rPr>
        <w:t>(26), 9703-9711.</w:t>
      </w:r>
    </w:p>
    <w:p w14:paraId="7B06148A">
      <w:pPr>
        <w:jc w:val="both"/>
        <w:rPr>
          <w:sz w:val="20"/>
          <w:szCs w:val="20"/>
        </w:rPr>
      </w:pPr>
    </w:p>
    <w:p w14:paraId="4E40B4EC">
      <w:pPr>
        <w:jc w:val="both"/>
        <w:rPr>
          <w:sz w:val="20"/>
          <w:szCs w:val="20"/>
        </w:rPr>
      </w:pPr>
      <w:r>
        <w:rPr>
          <w:sz w:val="20"/>
          <w:szCs w:val="20"/>
          <w:shd w:val="clear" w:color="auto" w:fill="FFFFFF"/>
        </w:rPr>
        <w:t>Du, L. C., &amp; Weng, Y. X. (2007). Photoinduced charge recombination at dye-sensitized individual TiO2 nanoparticles and its application in probe for the local polarity change around the nanoparticle in solution. </w:t>
      </w:r>
      <w:r>
        <w:rPr>
          <w:i/>
          <w:iCs/>
          <w:sz w:val="20"/>
          <w:szCs w:val="20"/>
          <w:shd w:val="clear" w:color="auto" w:fill="FFFFFF"/>
        </w:rPr>
        <w:t>The Journal of Physical Chemistry C</w:t>
      </w:r>
      <w:r>
        <w:rPr>
          <w:sz w:val="20"/>
          <w:szCs w:val="20"/>
          <w:shd w:val="clear" w:color="auto" w:fill="FFFFFF"/>
        </w:rPr>
        <w:t>, </w:t>
      </w:r>
      <w:r>
        <w:rPr>
          <w:i/>
          <w:iCs/>
          <w:sz w:val="20"/>
          <w:szCs w:val="20"/>
          <w:shd w:val="clear" w:color="auto" w:fill="FFFFFF"/>
        </w:rPr>
        <w:t>111</w:t>
      </w:r>
      <w:r>
        <w:rPr>
          <w:sz w:val="20"/>
          <w:szCs w:val="20"/>
          <w:shd w:val="clear" w:color="auto" w:fill="FFFFFF"/>
        </w:rPr>
        <w:t>(12), 4567-4577.</w:t>
      </w:r>
    </w:p>
    <w:p w14:paraId="289004E6">
      <w:pPr>
        <w:jc w:val="both"/>
        <w:rPr>
          <w:sz w:val="20"/>
          <w:szCs w:val="20"/>
        </w:rPr>
      </w:pPr>
    </w:p>
    <w:p w14:paraId="15E94B14">
      <w:pPr>
        <w:jc w:val="both"/>
        <w:rPr>
          <w:sz w:val="20"/>
          <w:szCs w:val="20"/>
        </w:rPr>
      </w:pPr>
      <w:r>
        <w:rPr>
          <w:sz w:val="20"/>
          <w:szCs w:val="20"/>
          <w:shd w:val="clear" w:color="auto" w:fill="FFFFFF"/>
        </w:rPr>
        <w:t>Ebenezer Anitha, A., &amp; Dotter, M. (2023). A Review on Liquid Electrolyte Stability Issues for Commercialization of Dye-Sensitized Solar Cells (DSSC). </w:t>
      </w:r>
      <w:r>
        <w:rPr>
          <w:i/>
          <w:iCs/>
          <w:sz w:val="20"/>
          <w:szCs w:val="20"/>
          <w:shd w:val="clear" w:color="auto" w:fill="FFFFFF"/>
        </w:rPr>
        <w:t>Energies</w:t>
      </w:r>
      <w:r>
        <w:rPr>
          <w:sz w:val="20"/>
          <w:szCs w:val="20"/>
          <w:shd w:val="clear" w:color="auto" w:fill="FFFFFF"/>
        </w:rPr>
        <w:t>, </w:t>
      </w:r>
      <w:r>
        <w:rPr>
          <w:i/>
          <w:iCs/>
          <w:sz w:val="20"/>
          <w:szCs w:val="20"/>
          <w:shd w:val="clear" w:color="auto" w:fill="FFFFFF"/>
        </w:rPr>
        <w:t>16</w:t>
      </w:r>
      <w:r>
        <w:rPr>
          <w:sz w:val="20"/>
          <w:szCs w:val="20"/>
          <w:shd w:val="clear" w:color="auto" w:fill="FFFFFF"/>
        </w:rPr>
        <w:t>(13), 5129.</w:t>
      </w:r>
    </w:p>
    <w:p w14:paraId="2CF5D39D">
      <w:pPr>
        <w:jc w:val="both"/>
        <w:rPr>
          <w:sz w:val="20"/>
          <w:szCs w:val="20"/>
        </w:rPr>
      </w:pPr>
    </w:p>
    <w:p w14:paraId="5F28D4D7">
      <w:pPr>
        <w:jc w:val="both"/>
        <w:rPr>
          <w:sz w:val="20"/>
          <w:szCs w:val="20"/>
        </w:rPr>
      </w:pPr>
      <w:r>
        <w:rPr>
          <w:sz w:val="20"/>
          <w:szCs w:val="20"/>
          <w:shd w:val="clear" w:color="auto" w:fill="FFFFFF"/>
        </w:rPr>
        <w:t>Echeverry, C. A., Cotta, R., Insuasty, A., Ortíz, A., Martín, N., Echegoyen, L., &amp; Insuasty, B. (2018). Synthesis of novel light harvesters based on perylene imides linked to triphenylamines for Dyes Sensitized Solar Cells. </w:t>
      </w:r>
      <w:r>
        <w:rPr>
          <w:i/>
          <w:iCs/>
          <w:sz w:val="20"/>
          <w:szCs w:val="20"/>
          <w:shd w:val="clear" w:color="auto" w:fill="FFFFFF"/>
        </w:rPr>
        <w:t>Dyes and Pigments</w:t>
      </w:r>
      <w:r>
        <w:rPr>
          <w:sz w:val="20"/>
          <w:szCs w:val="20"/>
          <w:shd w:val="clear" w:color="auto" w:fill="FFFFFF"/>
        </w:rPr>
        <w:t>, </w:t>
      </w:r>
      <w:r>
        <w:rPr>
          <w:i/>
          <w:iCs/>
          <w:sz w:val="20"/>
          <w:szCs w:val="20"/>
          <w:shd w:val="clear" w:color="auto" w:fill="FFFFFF"/>
        </w:rPr>
        <w:t>153</w:t>
      </w:r>
      <w:r>
        <w:rPr>
          <w:sz w:val="20"/>
          <w:szCs w:val="20"/>
          <w:shd w:val="clear" w:color="auto" w:fill="FFFFFF"/>
        </w:rPr>
        <w:t>, 182-188.</w:t>
      </w:r>
    </w:p>
    <w:p w14:paraId="3277D8C9">
      <w:pPr>
        <w:jc w:val="both"/>
        <w:rPr>
          <w:sz w:val="20"/>
          <w:szCs w:val="20"/>
        </w:rPr>
      </w:pPr>
    </w:p>
    <w:p w14:paraId="4A4D7F0E">
      <w:pPr>
        <w:jc w:val="both"/>
        <w:rPr>
          <w:rStyle w:val="25"/>
          <w:color w:val="auto"/>
          <w:sz w:val="20"/>
          <w:szCs w:val="20"/>
          <w:u w:val="none"/>
        </w:rPr>
      </w:pPr>
      <w:r>
        <w:rPr>
          <w:sz w:val="20"/>
          <w:szCs w:val="20"/>
        </w:rPr>
        <w:t xml:space="preserve">Ellis, D. S., Yifat Piekner, Grave, D. A., Schnell, P., &amp; Rothschild, A. (2022). Considerations for the Accurate Measurement of Incident Photon to Current Efficiency in Photoelectrochemical Cells. Frontiers in Energy Research, 9. </w:t>
      </w:r>
      <w:r>
        <w:fldChar w:fldCharType="begin"/>
      </w:r>
      <w:r>
        <w:instrText xml:space="preserve"> HYPERLINK "https://doi.org/10.3389/fenrg.2021.726069" </w:instrText>
      </w:r>
      <w:r>
        <w:fldChar w:fldCharType="separate"/>
      </w:r>
      <w:r>
        <w:rPr>
          <w:rStyle w:val="25"/>
          <w:rFonts w:eastAsiaTheme="majorEastAsia"/>
          <w:color w:val="auto"/>
          <w:sz w:val="20"/>
          <w:szCs w:val="20"/>
        </w:rPr>
        <w:t>https://doi.org/10.3389/fenrg.2021.726069</w:t>
      </w:r>
      <w:r>
        <w:rPr>
          <w:rStyle w:val="25"/>
          <w:rFonts w:eastAsiaTheme="majorEastAsia"/>
          <w:color w:val="auto"/>
          <w:sz w:val="20"/>
          <w:szCs w:val="20"/>
        </w:rPr>
        <w:fldChar w:fldCharType="end"/>
      </w:r>
    </w:p>
    <w:p w14:paraId="57ED0A40">
      <w:pPr>
        <w:jc w:val="both"/>
        <w:rPr>
          <w:rStyle w:val="25"/>
          <w:color w:val="auto"/>
          <w:sz w:val="20"/>
          <w:szCs w:val="20"/>
          <w:u w:val="none"/>
        </w:rPr>
      </w:pPr>
    </w:p>
    <w:p w14:paraId="28E86190">
      <w:pPr>
        <w:jc w:val="both"/>
        <w:rPr>
          <w:sz w:val="20"/>
          <w:szCs w:val="20"/>
        </w:rPr>
      </w:pPr>
      <w:r>
        <w:rPr>
          <w:sz w:val="20"/>
          <w:szCs w:val="20"/>
          <w:shd w:val="clear" w:color="auto" w:fill="FFFFFF"/>
        </w:rPr>
        <w:t>El-Sherbiny, S., Morsy, F., Samir, M., &amp; Fouad, O. A. (2014). Synthesis, characterization and application of TiO 2 nanopowders as special paper coating pigment. </w:t>
      </w:r>
      <w:r>
        <w:rPr>
          <w:i/>
          <w:iCs/>
          <w:sz w:val="20"/>
          <w:szCs w:val="20"/>
          <w:shd w:val="clear" w:color="auto" w:fill="FFFFFF"/>
        </w:rPr>
        <w:t>Applied Nanoscience</w:t>
      </w:r>
      <w:r>
        <w:rPr>
          <w:sz w:val="20"/>
          <w:szCs w:val="20"/>
          <w:shd w:val="clear" w:color="auto" w:fill="FFFFFF"/>
        </w:rPr>
        <w:t>, </w:t>
      </w:r>
      <w:r>
        <w:rPr>
          <w:i/>
          <w:iCs/>
          <w:sz w:val="20"/>
          <w:szCs w:val="20"/>
          <w:shd w:val="clear" w:color="auto" w:fill="FFFFFF"/>
        </w:rPr>
        <w:t>4</w:t>
      </w:r>
      <w:r>
        <w:rPr>
          <w:sz w:val="20"/>
          <w:szCs w:val="20"/>
          <w:shd w:val="clear" w:color="auto" w:fill="FFFFFF"/>
        </w:rPr>
        <w:t>, 305-313.</w:t>
      </w:r>
    </w:p>
    <w:p w14:paraId="1FC8EB0A">
      <w:pPr>
        <w:jc w:val="both"/>
        <w:rPr>
          <w:sz w:val="20"/>
          <w:szCs w:val="20"/>
        </w:rPr>
      </w:pPr>
    </w:p>
    <w:p w14:paraId="1417D729">
      <w:pPr>
        <w:jc w:val="both"/>
        <w:rPr>
          <w:sz w:val="20"/>
          <w:szCs w:val="20"/>
        </w:rPr>
      </w:pPr>
      <w:r>
        <w:rPr>
          <w:sz w:val="20"/>
          <w:szCs w:val="20"/>
          <w:shd w:val="clear" w:color="auto" w:fill="FFFFFF"/>
        </w:rPr>
        <w:t>Eshetu, G. G., Armand, M., Ohno, H., Scrosati, B., &amp; Passerini, S. (2016). Ionic liquids as tailored media for the synthesis and processing of energy conversion materials. </w:t>
      </w:r>
      <w:r>
        <w:rPr>
          <w:i/>
          <w:iCs/>
          <w:sz w:val="20"/>
          <w:szCs w:val="20"/>
          <w:shd w:val="clear" w:color="auto" w:fill="FFFFFF"/>
          <w:lang w:val="fr-FR"/>
        </w:rPr>
        <w:t>Energy &amp; Environmental Science</w:t>
      </w:r>
      <w:r>
        <w:rPr>
          <w:sz w:val="20"/>
          <w:szCs w:val="20"/>
          <w:shd w:val="clear" w:color="auto" w:fill="FFFFFF"/>
          <w:lang w:val="fr-FR"/>
        </w:rPr>
        <w:t>, </w:t>
      </w:r>
      <w:r>
        <w:rPr>
          <w:i/>
          <w:iCs/>
          <w:sz w:val="20"/>
          <w:szCs w:val="20"/>
          <w:shd w:val="clear" w:color="auto" w:fill="FFFFFF"/>
          <w:lang w:val="fr-FR"/>
        </w:rPr>
        <w:t>9</w:t>
      </w:r>
      <w:r>
        <w:rPr>
          <w:sz w:val="20"/>
          <w:szCs w:val="20"/>
          <w:shd w:val="clear" w:color="auto" w:fill="FFFFFF"/>
          <w:lang w:val="fr-FR"/>
        </w:rPr>
        <w:t>(1), 49-61.</w:t>
      </w:r>
    </w:p>
    <w:p w14:paraId="053183CD">
      <w:pPr>
        <w:jc w:val="both"/>
        <w:rPr>
          <w:sz w:val="20"/>
          <w:szCs w:val="20"/>
        </w:rPr>
      </w:pPr>
    </w:p>
    <w:p w14:paraId="32629174">
      <w:pPr>
        <w:jc w:val="both"/>
        <w:rPr>
          <w:sz w:val="20"/>
          <w:szCs w:val="20"/>
        </w:rPr>
      </w:pPr>
      <w:r>
        <w:rPr>
          <w:sz w:val="20"/>
          <w:szCs w:val="20"/>
          <w:shd w:val="clear" w:color="auto" w:fill="FFFFFF"/>
          <w:lang w:val="fr-FR"/>
        </w:rPr>
        <w:t xml:space="preserve">Famprikis, T., Canepa, P., Dawson, J. A., Islam, M. S., &amp; Masquelier, C. (2019). </w:t>
      </w:r>
      <w:r>
        <w:rPr>
          <w:sz w:val="20"/>
          <w:szCs w:val="20"/>
          <w:shd w:val="clear" w:color="auto" w:fill="FFFFFF"/>
        </w:rPr>
        <w:t>Fundamentals of inorganic solid-state electrolytes for batteries. </w:t>
      </w:r>
      <w:r>
        <w:rPr>
          <w:i/>
          <w:iCs/>
          <w:sz w:val="20"/>
          <w:szCs w:val="20"/>
          <w:shd w:val="clear" w:color="auto" w:fill="FFFFFF"/>
        </w:rPr>
        <w:t>Nature materials</w:t>
      </w:r>
      <w:r>
        <w:rPr>
          <w:sz w:val="20"/>
          <w:szCs w:val="20"/>
          <w:shd w:val="clear" w:color="auto" w:fill="FFFFFF"/>
        </w:rPr>
        <w:t>, </w:t>
      </w:r>
      <w:r>
        <w:rPr>
          <w:i/>
          <w:iCs/>
          <w:sz w:val="20"/>
          <w:szCs w:val="20"/>
          <w:shd w:val="clear" w:color="auto" w:fill="FFFFFF"/>
        </w:rPr>
        <w:t>18</w:t>
      </w:r>
      <w:r>
        <w:rPr>
          <w:sz w:val="20"/>
          <w:szCs w:val="20"/>
          <w:shd w:val="clear" w:color="auto" w:fill="FFFFFF"/>
        </w:rPr>
        <w:t>(12), 1278-1291.</w:t>
      </w:r>
    </w:p>
    <w:p w14:paraId="71980270">
      <w:pPr>
        <w:jc w:val="both"/>
        <w:rPr>
          <w:sz w:val="20"/>
          <w:szCs w:val="20"/>
        </w:rPr>
      </w:pPr>
    </w:p>
    <w:p w14:paraId="4F05FD57">
      <w:pPr>
        <w:jc w:val="both"/>
        <w:rPr>
          <w:sz w:val="20"/>
          <w:szCs w:val="20"/>
        </w:rPr>
      </w:pPr>
      <w:r>
        <w:rPr>
          <w:sz w:val="20"/>
          <w:szCs w:val="20"/>
          <w:shd w:val="clear" w:color="auto" w:fill="FFFFFF"/>
          <w:lang w:val="es-ES"/>
        </w:rPr>
        <w:t xml:space="preserve">Fan, K., Yu, J., &amp; Ho, W. (2017). </w:t>
      </w:r>
      <w:r>
        <w:rPr>
          <w:sz w:val="20"/>
          <w:szCs w:val="20"/>
          <w:shd w:val="clear" w:color="auto" w:fill="FFFFFF"/>
        </w:rPr>
        <w:t>Improving photoanodes to obtain highly efficient dye-sensitized solar cells: a brief review. </w:t>
      </w:r>
      <w:r>
        <w:rPr>
          <w:i/>
          <w:iCs/>
          <w:sz w:val="20"/>
          <w:szCs w:val="20"/>
          <w:shd w:val="clear" w:color="auto" w:fill="FFFFFF"/>
        </w:rPr>
        <w:t>Materials Horizons</w:t>
      </w:r>
      <w:r>
        <w:rPr>
          <w:sz w:val="20"/>
          <w:szCs w:val="20"/>
          <w:shd w:val="clear" w:color="auto" w:fill="FFFFFF"/>
        </w:rPr>
        <w:t>, </w:t>
      </w:r>
      <w:r>
        <w:rPr>
          <w:i/>
          <w:iCs/>
          <w:sz w:val="20"/>
          <w:szCs w:val="20"/>
          <w:shd w:val="clear" w:color="auto" w:fill="FFFFFF"/>
        </w:rPr>
        <w:t>4</w:t>
      </w:r>
      <w:r>
        <w:rPr>
          <w:sz w:val="20"/>
          <w:szCs w:val="20"/>
          <w:shd w:val="clear" w:color="auto" w:fill="FFFFFF"/>
        </w:rPr>
        <w:t>(3), 319-344.</w:t>
      </w:r>
    </w:p>
    <w:p w14:paraId="04B42E9A">
      <w:pPr>
        <w:jc w:val="both"/>
        <w:rPr>
          <w:sz w:val="20"/>
          <w:szCs w:val="20"/>
        </w:rPr>
      </w:pPr>
    </w:p>
    <w:p w14:paraId="38A635EE">
      <w:pPr>
        <w:jc w:val="both"/>
        <w:rPr>
          <w:sz w:val="20"/>
          <w:szCs w:val="20"/>
        </w:rPr>
      </w:pPr>
      <w:r>
        <mc:AlternateContent>
          <mc:Choice Requires="wps">
            <w:drawing>
              <wp:anchor distT="0" distB="0" distL="114300" distR="114300" simplePos="0" relativeHeight="251691008" behindDoc="0" locked="0" layoutInCell="1" allowOverlap="1">
                <wp:simplePos x="0" y="0"/>
                <wp:positionH relativeFrom="column">
                  <wp:posOffset>2838450</wp:posOffset>
                </wp:positionH>
                <wp:positionV relativeFrom="paragraph">
                  <wp:posOffset>862965</wp:posOffset>
                </wp:positionV>
                <wp:extent cx="495300" cy="316230"/>
                <wp:effectExtent l="0" t="0" r="0" b="0"/>
                <wp:wrapNone/>
                <wp:docPr id="635970106"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1E37D72">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67.95pt;height:24.9pt;width:39pt;z-index:251691008;mso-width-relative:page;mso-height-relative:page;" filled="f" stroked="f" coordsize="21600,21600" o:gfxdata="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3NjFtsAAAALAQAADwAAAAAAAAABACAAAAAiAAAAZHJzL2Rvd25yZXYueG1s&#10;UEsBAhQAFAAAAAgAh07iQGWl6w8uAgAAbAQAAA4AAAAAAAAAAQAgAAAAKgEAAGRycy9lMm9Eb2Mu&#10;eG1sUEsFBgAAAAAGAAYAWQEAAMoFAAAAAA==&#10;">
                <v:fill on="f" focussize="0,0"/>
                <v:stroke on="f" weight="0.5pt"/>
                <v:imagedata o:title=""/>
                <o:lock v:ext="edit" aspectratio="f"/>
                <v:textbox>
                  <w:txbxContent>
                    <w:p w14:paraId="31E37D72">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290</w:t>
                      </w:r>
                    </w:p>
                  </w:txbxContent>
                </v:textbox>
              </v:shape>
            </w:pict>
          </mc:Fallback>
        </mc:AlternateContent>
      </w:r>
      <w:r>
        <w:rPr>
          <w:sz w:val="20"/>
          <w:szCs w:val="20"/>
          <w:shd w:val="clear" w:color="auto" w:fill="FFFFFF"/>
        </w:rPr>
        <w:t>Farooq, S., Tahir, A. A., Krewer, U., &amp; Bilal, S. (2019). Efficient photocatalysis through conductive polymer coated FTO counter electrode in platinum free dye sensitized solar cells. </w:t>
      </w:r>
      <w:r>
        <w:rPr>
          <w:i/>
          <w:iCs/>
          <w:sz w:val="20"/>
          <w:szCs w:val="20"/>
          <w:shd w:val="clear" w:color="auto" w:fill="FFFFFF"/>
        </w:rPr>
        <w:t>Electrochimica Acta</w:t>
      </w:r>
      <w:r>
        <w:rPr>
          <w:sz w:val="20"/>
          <w:szCs w:val="20"/>
          <w:shd w:val="clear" w:color="auto" w:fill="FFFFFF"/>
        </w:rPr>
        <w:t>, </w:t>
      </w:r>
      <w:r>
        <w:rPr>
          <w:i/>
          <w:iCs/>
          <w:sz w:val="20"/>
          <w:szCs w:val="20"/>
          <w:shd w:val="clear" w:color="auto" w:fill="FFFFFF"/>
        </w:rPr>
        <w:t>320</w:t>
      </w:r>
      <w:r>
        <w:rPr>
          <w:sz w:val="20"/>
          <w:szCs w:val="20"/>
          <w:shd w:val="clear" w:color="auto" w:fill="FFFFFF"/>
        </w:rPr>
        <w:t>, 134544.</w:t>
      </w:r>
    </w:p>
    <w:p w14:paraId="66BAD1A1">
      <w:pPr>
        <w:jc w:val="both"/>
        <w:rPr>
          <w:sz w:val="20"/>
          <w:szCs w:val="20"/>
        </w:rPr>
      </w:pPr>
    </w:p>
    <w:p w14:paraId="5F65C207">
      <w:pPr>
        <w:jc w:val="both"/>
        <w:rPr>
          <w:sz w:val="20"/>
          <w:szCs w:val="20"/>
        </w:rPr>
      </w:pPr>
      <w:r>
        <w:rPr>
          <w:sz w:val="20"/>
          <w:szCs w:val="20"/>
          <w:shd w:val="clear" w:color="auto" w:fill="FFFFFF"/>
        </w:rPr>
        <w:t>Francis, O. I., &amp; Ikenna, A. (2021). Review of dye-sensitized solar cell (DSSCs) development. </w:t>
      </w:r>
      <w:r>
        <w:rPr>
          <w:i/>
          <w:iCs/>
          <w:sz w:val="20"/>
          <w:szCs w:val="20"/>
          <w:shd w:val="clear" w:color="auto" w:fill="FFFFFF"/>
        </w:rPr>
        <w:t>Natural Science</w:t>
      </w:r>
      <w:r>
        <w:rPr>
          <w:sz w:val="20"/>
          <w:szCs w:val="20"/>
          <w:shd w:val="clear" w:color="auto" w:fill="FFFFFF"/>
        </w:rPr>
        <w:t>, </w:t>
      </w:r>
      <w:r>
        <w:rPr>
          <w:i/>
          <w:iCs/>
          <w:sz w:val="20"/>
          <w:szCs w:val="20"/>
          <w:shd w:val="clear" w:color="auto" w:fill="FFFFFF"/>
        </w:rPr>
        <w:t>13</w:t>
      </w:r>
      <w:r>
        <w:rPr>
          <w:sz w:val="20"/>
          <w:szCs w:val="20"/>
          <w:shd w:val="clear" w:color="auto" w:fill="FFFFFF"/>
        </w:rPr>
        <w:t>(12), 496-509.</w:t>
      </w:r>
    </w:p>
    <w:p w14:paraId="45E11076">
      <w:pPr>
        <w:jc w:val="both"/>
        <w:rPr>
          <w:sz w:val="20"/>
          <w:szCs w:val="20"/>
        </w:rPr>
      </w:pPr>
    </w:p>
    <w:p w14:paraId="40F8CAAD">
      <w:pPr>
        <w:jc w:val="both"/>
        <w:rPr>
          <w:sz w:val="20"/>
          <w:szCs w:val="20"/>
        </w:rPr>
      </w:pPr>
      <w:r>
        <w:rPr>
          <w:sz w:val="20"/>
          <w:szCs w:val="20"/>
          <w:shd w:val="clear" w:color="auto" w:fill="FFFFFF"/>
        </w:rPr>
        <w:t>Funaki, T., Kusama, H., Onozawa‐Komatsuzaki, N., Kasuga, K., Sayama, K., &amp; Sugihara, H. (2014). Near‐IR Sensitization of Dye‐Sensitized Solar Cells Using Thiocyanate‐Free Cyclometalated Ruthenium (II) Complexes Having a Pyridylquinoline Ligand. </w:t>
      </w:r>
      <w:r>
        <w:rPr>
          <w:i/>
          <w:iCs/>
          <w:sz w:val="20"/>
          <w:szCs w:val="20"/>
          <w:shd w:val="clear" w:color="auto" w:fill="FFFFFF"/>
        </w:rPr>
        <w:t>European Journal of Inorganic Chemistry</w:t>
      </w:r>
      <w:r>
        <w:rPr>
          <w:sz w:val="20"/>
          <w:szCs w:val="20"/>
          <w:shd w:val="clear" w:color="auto" w:fill="FFFFFF"/>
        </w:rPr>
        <w:t>, </w:t>
      </w:r>
      <w:r>
        <w:rPr>
          <w:i/>
          <w:iCs/>
          <w:sz w:val="20"/>
          <w:szCs w:val="20"/>
          <w:shd w:val="clear" w:color="auto" w:fill="FFFFFF"/>
        </w:rPr>
        <w:t>2014</w:t>
      </w:r>
      <w:r>
        <w:rPr>
          <w:sz w:val="20"/>
          <w:szCs w:val="20"/>
          <w:shd w:val="clear" w:color="auto" w:fill="FFFFFF"/>
        </w:rPr>
        <w:t>(8), 1303-1311.</w:t>
      </w:r>
    </w:p>
    <w:p w14:paraId="1F0B85C5">
      <w:pPr>
        <w:jc w:val="both"/>
        <w:rPr>
          <w:sz w:val="20"/>
          <w:szCs w:val="20"/>
        </w:rPr>
      </w:pPr>
    </w:p>
    <w:p w14:paraId="369B72EA">
      <w:pPr>
        <w:jc w:val="both"/>
        <w:rPr>
          <w:sz w:val="20"/>
          <w:szCs w:val="20"/>
        </w:rPr>
      </w:pPr>
      <w:r>
        <w:rPr>
          <w:sz w:val="20"/>
          <w:szCs w:val="20"/>
          <w:shd w:val="clear" w:color="auto" w:fill="FFFFFF"/>
        </w:rPr>
        <w:t>Fürer, S., Milhuisen, R., Archaya, S., &amp; Bach, U. CuI/II Bis-phenanthroline Complexes as Redox Couples for Dye-Sensitized Solar Cells.</w:t>
      </w:r>
    </w:p>
    <w:p w14:paraId="49907A1E">
      <w:pPr>
        <w:jc w:val="both"/>
        <w:rPr>
          <w:sz w:val="20"/>
          <w:szCs w:val="20"/>
        </w:rPr>
      </w:pPr>
    </w:p>
    <w:p w14:paraId="7F1368F6">
      <w:pPr>
        <w:jc w:val="both"/>
        <w:rPr>
          <w:sz w:val="20"/>
          <w:szCs w:val="20"/>
        </w:rPr>
      </w:pPr>
      <w:r>
        <w:rPr>
          <w:sz w:val="20"/>
          <w:szCs w:val="20"/>
          <w:shd w:val="clear" w:color="auto" w:fill="FFFFFF"/>
        </w:rPr>
        <w:t xml:space="preserve">Galiński, M., Lewandowski, A., &amp; Stępniak, I. (2006). </w:t>
      </w:r>
      <w:r>
        <w:rPr>
          <w:sz w:val="20"/>
          <w:szCs w:val="20"/>
          <w:shd w:val="clear" w:color="auto" w:fill="FFFFFF"/>
          <w:lang w:val="pt-PT"/>
        </w:rPr>
        <w:t>Ionic liquids as electrolytes. </w:t>
      </w:r>
      <w:r>
        <w:rPr>
          <w:i/>
          <w:iCs/>
          <w:sz w:val="20"/>
          <w:szCs w:val="20"/>
          <w:shd w:val="clear" w:color="auto" w:fill="FFFFFF"/>
          <w:lang w:val="pt-PT"/>
        </w:rPr>
        <w:t>Electrochimica acta</w:t>
      </w:r>
      <w:r>
        <w:rPr>
          <w:sz w:val="20"/>
          <w:szCs w:val="20"/>
          <w:shd w:val="clear" w:color="auto" w:fill="FFFFFF"/>
          <w:lang w:val="pt-PT"/>
        </w:rPr>
        <w:t>, </w:t>
      </w:r>
      <w:r>
        <w:rPr>
          <w:i/>
          <w:iCs/>
          <w:sz w:val="20"/>
          <w:szCs w:val="20"/>
          <w:shd w:val="clear" w:color="auto" w:fill="FFFFFF"/>
          <w:lang w:val="pt-PT"/>
        </w:rPr>
        <w:t>51</w:t>
      </w:r>
      <w:r>
        <w:rPr>
          <w:sz w:val="20"/>
          <w:szCs w:val="20"/>
          <w:shd w:val="clear" w:color="auto" w:fill="FFFFFF"/>
          <w:lang w:val="pt-PT"/>
        </w:rPr>
        <w:t>(26), 5567-5580.</w:t>
      </w:r>
    </w:p>
    <w:p w14:paraId="1540A1B8">
      <w:pPr>
        <w:jc w:val="both"/>
        <w:rPr>
          <w:sz w:val="20"/>
          <w:szCs w:val="20"/>
        </w:rPr>
      </w:pPr>
    </w:p>
    <w:p w14:paraId="1220FF14">
      <w:pPr>
        <w:jc w:val="both"/>
        <w:rPr>
          <w:sz w:val="20"/>
          <w:szCs w:val="20"/>
        </w:rPr>
      </w:pPr>
      <w:r>
        <w:rPr>
          <w:sz w:val="20"/>
          <w:szCs w:val="20"/>
          <w:shd w:val="clear" w:color="auto" w:fill="FFFFFF"/>
        </w:rPr>
        <w:t>Ganesh, I. (2015). Solar fuels vis-a-vis electricity generation from sunlight: the current state-of-the-art (a review). </w:t>
      </w:r>
      <w:r>
        <w:rPr>
          <w:i/>
          <w:iCs/>
          <w:sz w:val="20"/>
          <w:szCs w:val="20"/>
          <w:shd w:val="clear" w:color="auto" w:fill="FFFFFF"/>
        </w:rPr>
        <w:t>Renewable and Sustainable Energy Reviews</w:t>
      </w:r>
      <w:r>
        <w:rPr>
          <w:sz w:val="20"/>
          <w:szCs w:val="20"/>
          <w:shd w:val="clear" w:color="auto" w:fill="FFFFFF"/>
        </w:rPr>
        <w:t>, </w:t>
      </w:r>
      <w:r>
        <w:rPr>
          <w:i/>
          <w:iCs/>
          <w:sz w:val="20"/>
          <w:szCs w:val="20"/>
          <w:shd w:val="clear" w:color="auto" w:fill="FFFFFF"/>
        </w:rPr>
        <w:t>44</w:t>
      </w:r>
      <w:r>
        <w:rPr>
          <w:sz w:val="20"/>
          <w:szCs w:val="20"/>
          <w:shd w:val="clear" w:color="auto" w:fill="FFFFFF"/>
        </w:rPr>
        <w:t>, 904-932.</w:t>
      </w:r>
    </w:p>
    <w:p w14:paraId="1E3D62A5">
      <w:pPr>
        <w:jc w:val="both"/>
        <w:rPr>
          <w:sz w:val="20"/>
          <w:szCs w:val="20"/>
        </w:rPr>
      </w:pPr>
    </w:p>
    <w:p w14:paraId="359AA4A5">
      <w:pPr>
        <w:jc w:val="both"/>
        <w:rPr>
          <w:sz w:val="20"/>
          <w:szCs w:val="20"/>
        </w:rPr>
      </w:pPr>
      <w:r>
        <w:rPr>
          <w:sz w:val="20"/>
          <w:szCs w:val="20"/>
          <w:shd w:val="clear" w:color="auto" w:fill="FFFFFF"/>
        </w:rPr>
        <w:t>Gao, M., Vuagnat, M., Chen, M. Y., Pannecoucke, X., Jubault, P., &amp; Besset, T. (2020). Design and Use of Electrophilic Thiocyanating and Selenocyanating Reagents: a New Trend for the Construction of SCN‐and SeCN‐containing Compounds. </w:t>
      </w:r>
      <w:r>
        <w:rPr>
          <w:i/>
          <w:iCs/>
          <w:sz w:val="20"/>
          <w:szCs w:val="20"/>
          <w:shd w:val="clear" w:color="auto" w:fill="FFFFFF"/>
        </w:rPr>
        <w:t>Chemistry-A European Journal</w:t>
      </w:r>
      <w:r>
        <w:rPr>
          <w:sz w:val="20"/>
          <w:szCs w:val="20"/>
          <w:shd w:val="clear" w:color="auto" w:fill="FFFFFF"/>
        </w:rPr>
        <w:t>.</w:t>
      </w:r>
    </w:p>
    <w:p w14:paraId="295E529D">
      <w:pPr>
        <w:jc w:val="both"/>
        <w:rPr>
          <w:sz w:val="20"/>
          <w:szCs w:val="20"/>
        </w:rPr>
      </w:pPr>
    </w:p>
    <w:p w14:paraId="3942EBBB">
      <w:pPr>
        <w:jc w:val="both"/>
        <w:rPr>
          <w:sz w:val="20"/>
          <w:szCs w:val="20"/>
        </w:rPr>
      </w:pPr>
      <w:r>
        <w:rPr>
          <w:sz w:val="20"/>
          <w:szCs w:val="20"/>
          <w:shd w:val="clear" w:color="auto" w:fill="FFFFFF"/>
          <w:lang w:val="fr-FR"/>
        </w:rPr>
        <w:t xml:space="preserve">Ge, M., Cao, C., Huang, J., Li, S., Chen, Z., Zhang, K. Q., ... </w:t>
      </w:r>
      <w:r>
        <w:rPr>
          <w:sz w:val="20"/>
          <w:szCs w:val="20"/>
          <w:shd w:val="clear" w:color="auto" w:fill="FFFFFF"/>
        </w:rPr>
        <w:t>&amp; Lai, Y. (2016). A review of one-dimensional TiO 2 nanostructured materials for environmental and energy applications. </w:t>
      </w:r>
      <w:r>
        <w:rPr>
          <w:i/>
          <w:iCs/>
          <w:sz w:val="20"/>
          <w:szCs w:val="20"/>
          <w:shd w:val="clear" w:color="auto" w:fill="FFFFFF"/>
        </w:rPr>
        <w:t>Journal of Materials Chemistry A</w:t>
      </w:r>
      <w:r>
        <w:rPr>
          <w:sz w:val="20"/>
          <w:szCs w:val="20"/>
          <w:shd w:val="clear" w:color="auto" w:fill="FFFFFF"/>
        </w:rPr>
        <w:t>, </w:t>
      </w:r>
      <w:r>
        <w:rPr>
          <w:i/>
          <w:iCs/>
          <w:sz w:val="20"/>
          <w:szCs w:val="20"/>
          <w:shd w:val="clear" w:color="auto" w:fill="FFFFFF"/>
        </w:rPr>
        <w:t>4</w:t>
      </w:r>
      <w:r>
        <w:rPr>
          <w:sz w:val="20"/>
          <w:szCs w:val="20"/>
          <w:shd w:val="clear" w:color="auto" w:fill="FFFFFF"/>
        </w:rPr>
        <w:t>(18), 6772-6801.</w:t>
      </w:r>
    </w:p>
    <w:p w14:paraId="38782E05">
      <w:pPr>
        <w:jc w:val="both"/>
        <w:rPr>
          <w:sz w:val="20"/>
          <w:szCs w:val="20"/>
        </w:rPr>
      </w:pPr>
    </w:p>
    <w:p w14:paraId="0DEF4752">
      <w:pPr>
        <w:jc w:val="both"/>
        <w:rPr>
          <w:sz w:val="20"/>
          <w:szCs w:val="20"/>
        </w:rPr>
      </w:pPr>
      <w:r>
        <w:rPr>
          <w:sz w:val="20"/>
          <w:szCs w:val="20"/>
          <w:shd w:val="clear" w:color="auto" w:fill="FFFFFF"/>
        </w:rPr>
        <w:t>Iyer, A. R. (2021). </w:t>
      </w:r>
      <w:r>
        <w:rPr>
          <w:i/>
          <w:iCs/>
          <w:sz w:val="20"/>
          <w:szCs w:val="20"/>
          <w:shd w:val="clear" w:color="auto" w:fill="FFFFFF"/>
        </w:rPr>
        <w:t>Understanding and optimizing the performances of PEDOT: PSS based heterojunction solar cells</w:t>
      </w:r>
      <w:r>
        <w:rPr>
          <w:sz w:val="20"/>
          <w:szCs w:val="20"/>
          <w:shd w:val="clear" w:color="auto" w:fill="FFFFFF"/>
        </w:rPr>
        <w:t>. University of Delaware.</w:t>
      </w:r>
    </w:p>
    <w:p w14:paraId="38EBD6EC">
      <w:pPr>
        <w:jc w:val="both"/>
        <w:rPr>
          <w:sz w:val="20"/>
          <w:szCs w:val="20"/>
        </w:rPr>
      </w:pPr>
    </w:p>
    <w:p w14:paraId="55D88F6B">
      <w:pPr>
        <w:jc w:val="both"/>
        <w:rPr>
          <w:sz w:val="20"/>
          <w:szCs w:val="20"/>
        </w:rPr>
      </w:pPr>
      <w:r>
        <w:rPr>
          <w:sz w:val="20"/>
          <w:szCs w:val="20"/>
          <w:shd w:val="clear" w:color="auto" w:fill="FFFFFF"/>
        </w:rPr>
        <w:t>Jamalullail, N., Smohamad, I., Nnorizan, M., &amp; Mahmed, N. (2018, June). Enhancement of energy conversion efficiency for dye sensitized solar cell using zinc oxide photoanode. In </w:t>
      </w:r>
      <w:r>
        <w:rPr>
          <w:i/>
          <w:iCs/>
          <w:sz w:val="20"/>
          <w:szCs w:val="20"/>
          <w:shd w:val="clear" w:color="auto" w:fill="FFFFFF"/>
        </w:rPr>
        <w:t>IOP Conference Series: Materials Science and Engineering</w:t>
      </w:r>
      <w:r>
        <w:rPr>
          <w:sz w:val="20"/>
          <w:szCs w:val="20"/>
          <w:shd w:val="clear" w:color="auto" w:fill="FFFFFF"/>
        </w:rPr>
        <w:t> (Vol. 374, No. 1, p. 012048). IOP Publishing.</w:t>
      </w:r>
    </w:p>
    <w:p w14:paraId="3C0C07E8">
      <w:pPr>
        <w:jc w:val="both"/>
        <w:rPr>
          <w:sz w:val="20"/>
          <w:szCs w:val="20"/>
        </w:rPr>
      </w:pPr>
    </w:p>
    <w:p w14:paraId="21DF03C4">
      <w:pPr>
        <w:jc w:val="both"/>
        <w:rPr>
          <w:sz w:val="20"/>
          <w:szCs w:val="20"/>
        </w:rPr>
      </w:pPr>
      <w:r>
        <w:rPr>
          <w:sz w:val="20"/>
          <w:szCs w:val="20"/>
          <w:shd w:val="clear" w:color="auto" w:fill="FFFFFF"/>
        </w:rPr>
        <w:t>Jena, A., Mohanty, S. P., Kumar, P., Naduvath, J., Gondane, V., Lekha, P., ... &amp; Bhargava, P. (2012). Dye sensitized solar cells: a review. </w:t>
      </w:r>
      <w:r>
        <w:rPr>
          <w:i/>
          <w:iCs/>
          <w:sz w:val="20"/>
          <w:szCs w:val="20"/>
          <w:shd w:val="clear" w:color="auto" w:fill="FFFFFF"/>
        </w:rPr>
        <w:t>Transactions of the Indian Ceramic Society</w:t>
      </w:r>
      <w:r>
        <w:rPr>
          <w:sz w:val="20"/>
          <w:szCs w:val="20"/>
          <w:shd w:val="clear" w:color="auto" w:fill="FFFFFF"/>
        </w:rPr>
        <w:t>, </w:t>
      </w:r>
      <w:r>
        <w:rPr>
          <w:i/>
          <w:iCs/>
          <w:sz w:val="20"/>
          <w:szCs w:val="20"/>
          <w:shd w:val="clear" w:color="auto" w:fill="FFFFFF"/>
        </w:rPr>
        <w:t>71</w:t>
      </w:r>
      <w:r>
        <w:rPr>
          <w:sz w:val="20"/>
          <w:szCs w:val="20"/>
          <w:shd w:val="clear" w:color="auto" w:fill="FFFFFF"/>
        </w:rPr>
        <w:t>(1), 1-16.</w:t>
      </w:r>
    </w:p>
    <w:p w14:paraId="35EF8168">
      <w:pPr>
        <w:jc w:val="both"/>
        <w:rPr>
          <w:sz w:val="20"/>
          <w:szCs w:val="20"/>
        </w:rPr>
      </w:pPr>
    </w:p>
    <w:p w14:paraId="7E42AA3F">
      <w:pPr>
        <w:jc w:val="both"/>
        <w:rPr>
          <w:sz w:val="20"/>
          <w:szCs w:val="20"/>
        </w:rPr>
      </w:pPr>
      <w:r>
        <w:rPr>
          <w:sz w:val="20"/>
          <w:szCs w:val="20"/>
          <w:shd w:val="clear" w:color="auto" w:fill="FFFFFF"/>
        </w:rPr>
        <w:t>Jiang, S., Chen, Y., Li, Y., &amp; Han, L. (2019). Novel DD-π-A indoline-linked coumarin sensitizers for dye-sensitized solar cells. </w:t>
      </w:r>
      <w:r>
        <w:rPr>
          <w:i/>
          <w:iCs/>
          <w:sz w:val="20"/>
          <w:szCs w:val="20"/>
          <w:shd w:val="clear" w:color="auto" w:fill="FFFFFF"/>
        </w:rPr>
        <w:t>Journal of Photochemistry and Photobiology A: Chemistry</w:t>
      </w:r>
      <w:r>
        <w:rPr>
          <w:sz w:val="20"/>
          <w:szCs w:val="20"/>
          <w:shd w:val="clear" w:color="auto" w:fill="FFFFFF"/>
        </w:rPr>
        <w:t>, </w:t>
      </w:r>
      <w:r>
        <w:rPr>
          <w:i/>
          <w:iCs/>
          <w:sz w:val="20"/>
          <w:szCs w:val="20"/>
          <w:shd w:val="clear" w:color="auto" w:fill="FFFFFF"/>
        </w:rPr>
        <w:t>384</w:t>
      </w:r>
      <w:r>
        <w:rPr>
          <w:sz w:val="20"/>
          <w:szCs w:val="20"/>
          <w:shd w:val="clear" w:color="auto" w:fill="FFFFFF"/>
        </w:rPr>
        <w:t>, 112031.</w:t>
      </w:r>
    </w:p>
    <w:p w14:paraId="74196AA8">
      <w:pPr>
        <w:jc w:val="both"/>
        <w:rPr>
          <w:sz w:val="20"/>
          <w:szCs w:val="20"/>
        </w:rPr>
      </w:pPr>
    </w:p>
    <w:p w14:paraId="321B0F63">
      <w:pPr>
        <w:jc w:val="both"/>
        <w:rPr>
          <w:sz w:val="20"/>
          <w:szCs w:val="20"/>
        </w:rPr>
      </w:pPr>
      <w:r>
        <w:rPr>
          <w:sz w:val="20"/>
          <w:szCs w:val="20"/>
          <w:shd w:val="clear" w:color="auto" w:fill="FFFFFF"/>
        </w:rPr>
        <w:t>Jiang, Z., Zhu, J., Liu, D., Wei, W., Xie, J., &amp; Chen, M. (2014). In situ synthesis of bimetallic Ag/Pt loaded single-crystalline anatase TiO 2 hollow nano-hemispheres and their improved photocatalytic properties. </w:t>
      </w:r>
      <w:r>
        <w:rPr>
          <w:i/>
          <w:iCs/>
          <w:sz w:val="20"/>
          <w:szCs w:val="20"/>
          <w:shd w:val="clear" w:color="auto" w:fill="FFFFFF"/>
        </w:rPr>
        <w:t>CrystEngComm</w:t>
      </w:r>
      <w:r>
        <w:rPr>
          <w:sz w:val="20"/>
          <w:szCs w:val="20"/>
          <w:shd w:val="clear" w:color="auto" w:fill="FFFFFF"/>
        </w:rPr>
        <w:t>, </w:t>
      </w:r>
      <w:r>
        <w:rPr>
          <w:i/>
          <w:iCs/>
          <w:sz w:val="20"/>
          <w:szCs w:val="20"/>
          <w:shd w:val="clear" w:color="auto" w:fill="FFFFFF"/>
        </w:rPr>
        <w:t>16</w:t>
      </w:r>
      <w:r>
        <w:rPr>
          <w:sz w:val="20"/>
          <w:szCs w:val="20"/>
          <w:shd w:val="clear" w:color="auto" w:fill="FFFFFF"/>
        </w:rPr>
        <w:t>(12), 2384-2394.</w:t>
      </w:r>
    </w:p>
    <w:p w14:paraId="0EFF731F">
      <w:pPr>
        <w:jc w:val="both"/>
        <w:rPr>
          <w:sz w:val="20"/>
          <w:szCs w:val="20"/>
        </w:rPr>
      </w:pPr>
    </w:p>
    <w:p w14:paraId="69337129">
      <w:pPr>
        <w:jc w:val="both"/>
        <w:rPr>
          <w:sz w:val="20"/>
          <w:szCs w:val="20"/>
        </w:rPr>
      </w:pPr>
      <w:r>
        <w:rPr>
          <w:sz w:val="20"/>
          <w:szCs w:val="20"/>
          <w:shd w:val="clear" w:color="auto" w:fill="FFFFFF"/>
        </w:rPr>
        <w:t>Joseph, I., Louis, H., Unimuke, T. O., Etim, I. S., Orosun, M. M., &amp; Odey, J. (2020). An overview of the operational principles, light harvesting and trapping technologies, and recent advances of the dye sensitized solar cells. </w:t>
      </w:r>
      <w:r>
        <w:rPr>
          <w:i/>
          <w:iCs/>
          <w:sz w:val="20"/>
          <w:szCs w:val="20"/>
          <w:shd w:val="clear" w:color="auto" w:fill="FFFFFF"/>
        </w:rPr>
        <w:t>Applied Solar Energy</w:t>
      </w:r>
      <w:r>
        <w:rPr>
          <w:sz w:val="20"/>
          <w:szCs w:val="20"/>
          <w:shd w:val="clear" w:color="auto" w:fill="FFFFFF"/>
        </w:rPr>
        <w:t>, </w:t>
      </w:r>
      <w:r>
        <w:rPr>
          <w:i/>
          <w:iCs/>
          <w:sz w:val="20"/>
          <w:szCs w:val="20"/>
          <w:shd w:val="clear" w:color="auto" w:fill="FFFFFF"/>
        </w:rPr>
        <w:t>56</w:t>
      </w:r>
      <w:r>
        <w:rPr>
          <w:sz w:val="20"/>
          <w:szCs w:val="20"/>
          <w:shd w:val="clear" w:color="auto" w:fill="FFFFFF"/>
        </w:rPr>
        <w:t>, 334-363.</w:t>
      </w:r>
    </w:p>
    <w:p w14:paraId="2956F1A5">
      <w:pPr>
        <w:jc w:val="both"/>
        <w:rPr>
          <w:sz w:val="20"/>
          <w:szCs w:val="20"/>
        </w:rPr>
      </w:pPr>
    </w:p>
    <w:p w14:paraId="492FC5B0">
      <w:pPr>
        <w:jc w:val="both"/>
        <w:rPr>
          <w:sz w:val="20"/>
          <w:szCs w:val="20"/>
        </w:rPr>
      </w:pPr>
      <w:r>
        <w:rPr>
          <w:sz w:val="20"/>
          <w:szCs w:val="20"/>
          <w:shd w:val="clear" w:color="auto" w:fill="FFFFFF"/>
        </w:rPr>
        <w:t>Juwita, R., Lin, J. Y., Lin, S. J., Liu, Y. C., Wu, T. Y., Feng, Y. M., ... &amp; Wu, C. G. (2020). Osmium sensitizer with enhanced spin–orbit coupling for panchromatic dye-sensitized solar cells. </w:t>
      </w:r>
      <w:r>
        <w:rPr>
          <w:i/>
          <w:iCs/>
          <w:sz w:val="20"/>
          <w:szCs w:val="20"/>
          <w:shd w:val="clear" w:color="auto" w:fill="FFFFFF"/>
        </w:rPr>
        <w:t>Journal of Materials Chemistry A</w:t>
      </w:r>
      <w:r>
        <w:rPr>
          <w:sz w:val="20"/>
          <w:szCs w:val="20"/>
          <w:shd w:val="clear" w:color="auto" w:fill="FFFFFF"/>
        </w:rPr>
        <w:t>, </w:t>
      </w:r>
      <w:r>
        <w:rPr>
          <w:i/>
          <w:iCs/>
          <w:sz w:val="20"/>
          <w:szCs w:val="20"/>
          <w:shd w:val="clear" w:color="auto" w:fill="FFFFFF"/>
        </w:rPr>
        <w:t>8</w:t>
      </w:r>
      <w:r>
        <w:rPr>
          <w:sz w:val="20"/>
          <w:szCs w:val="20"/>
          <w:shd w:val="clear" w:color="auto" w:fill="FFFFFF"/>
        </w:rPr>
        <w:t>(25), 12361-12369.</w:t>
      </w:r>
    </w:p>
    <w:p w14:paraId="7F351896">
      <w:pPr>
        <w:jc w:val="both"/>
        <w:rPr>
          <w:sz w:val="20"/>
          <w:szCs w:val="20"/>
        </w:rPr>
      </w:pPr>
    </w:p>
    <w:p w14:paraId="5968A6E6">
      <w:pPr>
        <w:jc w:val="both"/>
        <w:rPr>
          <w:sz w:val="20"/>
          <w:szCs w:val="20"/>
        </w:rPr>
      </w:pPr>
      <w:r>
        <w:rPr>
          <w:sz w:val="20"/>
          <w:szCs w:val="20"/>
          <w:shd w:val="clear" w:color="auto" w:fill="FFFFFF"/>
        </w:rPr>
        <w:t>Kang, S. H., Kim, J. Y., Kim, Y., Kim, H. S., &amp; Sung, Y. E. (2007). Surface modification of stretched TiO2 nanotubes for solid-state dye-sensitized solar cells. </w:t>
      </w:r>
      <w:r>
        <w:rPr>
          <w:i/>
          <w:iCs/>
          <w:sz w:val="20"/>
          <w:szCs w:val="20"/>
          <w:shd w:val="clear" w:color="auto" w:fill="FFFFFF"/>
        </w:rPr>
        <w:t>The Journal of Physical Chemistry C</w:t>
      </w:r>
      <w:r>
        <w:rPr>
          <w:sz w:val="20"/>
          <w:szCs w:val="20"/>
          <w:shd w:val="clear" w:color="auto" w:fill="FFFFFF"/>
        </w:rPr>
        <w:t>, </w:t>
      </w:r>
      <w:r>
        <w:rPr>
          <w:i/>
          <w:iCs/>
          <w:sz w:val="20"/>
          <w:szCs w:val="20"/>
          <w:shd w:val="clear" w:color="auto" w:fill="FFFFFF"/>
        </w:rPr>
        <w:t>111</w:t>
      </w:r>
      <w:r>
        <w:rPr>
          <w:sz w:val="20"/>
          <w:szCs w:val="20"/>
          <w:shd w:val="clear" w:color="auto" w:fill="FFFFFF"/>
        </w:rPr>
        <w:t>(26), 9614-9623.</w:t>
      </w:r>
    </w:p>
    <w:p w14:paraId="5052BFA4">
      <w:pPr>
        <w:jc w:val="both"/>
        <w:rPr>
          <w:sz w:val="20"/>
          <w:szCs w:val="20"/>
        </w:rPr>
      </w:pPr>
    </w:p>
    <w:p w14:paraId="7E693B89">
      <w:pPr>
        <w:jc w:val="both"/>
        <w:rPr>
          <w:sz w:val="20"/>
          <w:szCs w:val="20"/>
        </w:rPr>
      </w:pPr>
      <w:r>
        <w:rPr>
          <w:sz w:val="20"/>
          <w:szCs w:val="20"/>
          <w:shd w:val="clear" w:color="auto" w:fill="FFFFFF"/>
        </w:rPr>
        <w:t>Kaniyoor, A., &amp; Ramaprabhu, S. (2012). Enhanced efficiency in dye sensitized solar cells with nanostructured Pt decorated multiwalled carbon nanotube based counter electrode. </w:t>
      </w:r>
      <w:r>
        <w:rPr>
          <w:i/>
          <w:iCs/>
          <w:sz w:val="20"/>
          <w:szCs w:val="20"/>
          <w:shd w:val="clear" w:color="auto" w:fill="FFFFFF"/>
        </w:rPr>
        <w:t>Electrochimica acta</w:t>
      </w:r>
      <w:r>
        <w:rPr>
          <w:sz w:val="20"/>
          <w:szCs w:val="20"/>
          <w:shd w:val="clear" w:color="auto" w:fill="FFFFFF"/>
        </w:rPr>
        <w:t>, </w:t>
      </w:r>
      <w:r>
        <w:rPr>
          <w:i/>
          <w:iCs/>
          <w:sz w:val="20"/>
          <w:szCs w:val="20"/>
          <w:shd w:val="clear" w:color="auto" w:fill="FFFFFF"/>
        </w:rPr>
        <w:t>72</w:t>
      </w:r>
      <w:r>
        <w:rPr>
          <w:sz w:val="20"/>
          <w:szCs w:val="20"/>
          <w:shd w:val="clear" w:color="auto" w:fill="FFFFFF"/>
        </w:rPr>
        <w:t>, 199-206.</w:t>
      </w:r>
    </w:p>
    <w:p w14:paraId="66AC9F5F">
      <w:pPr>
        <w:jc w:val="both"/>
        <w:rPr>
          <w:sz w:val="20"/>
          <w:szCs w:val="20"/>
        </w:rPr>
      </w:pPr>
    </w:p>
    <w:p w14:paraId="35C7A2F9">
      <w:pPr>
        <w:jc w:val="both"/>
        <w:rPr>
          <w:sz w:val="20"/>
          <w:szCs w:val="20"/>
        </w:rPr>
      </w:pPr>
      <w:r>
        <w:rPr>
          <w:sz w:val="20"/>
          <w:szCs w:val="20"/>
          <w:shd w:val="clear" w:color="auto" w:fill="FFFFFF"/>
        </w:rPr>
        <w:t>Kiliç, B., Wang, L., Ozdemir, O., Lu, M., &amp; Tüzemen, S. (2013). One-dimensional (1D) ZnO nanowires dye sensitized solar cell. </w:t>
      </w:r>
      <w:r>
        <w:rPr>
          <w:i/>
          <w:iCs/>
          <w:sz w:val="20"/>
          <w:szCs w:val="20"/>
          <w:shd w:val="clear" w:color="auto" w:fill="FFFFFF"/>
        </w:rPr>
        <w:t>Journal of Nanoscience and Nanotechnology</w:t>
      </w:r>
      <w:r>
        <w:rPr>
          <w:sz w:val="20"/>
          <w:szCs w:val="20"/>
          <w:shd w:val="clear" w:color="auto" w:fill="FFFFFF"/>
        </w:rPr>
        <w:t>, </w:t>
      </w:r>
      <w:r>
        <w:rPr>
          <w:i/>
          <w:iCs/>
          <w:sz w:val="20"/>
          <w:szCs w:val="20"/>
          <w:shd w:val="clear" w:color="auto" w:fill="FFFFFF"/>
        </w:rPr>
        <w:t>13</w:t>
      </w:r>
      <w:r>
        <w:rPr>
          <w:sz w:val="20"/>
          <w:szCs w:val="20"/>
          <w:shd w:val="clear" w:color="auto" w:fill="FFFFFF"/>
        </w:rPr>
        <w:t>(1), 333-338.</w:t>
      </w:r>
    </w:p>
    <w:p w14:paraId="67253D74">
      <w:pPr>
        <w:jc w:val="both"/>
        <w:rPr>
          <w:sz w:val="20"/>
          <w:szCs w:val="20"/>
        </w:rPr>
      </w:pPr>
    </w:p>
    <w:p w14:paraId="0993272F">
      <w:pPr>
        <w:jc w:val="both"/>
        <w:rPr>
          <w:sz w:val="20"/>
          <w:szCs w:val="20"/>
        </w:rPr>
      </w:pPr>
      <w:r>
        <w:rPr>
          <w:sz w:val="20"/>
          <w:szCs w:val="20"/>
          <w:shd w:val="clear" w:color="auto" w:fill="FFFFFF"/>
        </w:rPr>
        <w:t>Kloke, A., von Stetten, F., Zengerle, R., &amp; Kerzenmacher, S. (2011). Strategies for the fabrication of porous platinum electrodes. </w:t>
      </w:r>
      <w:r>
        <w:rPr>
          <w:i/>
          <w:iCs/>
          <w:sz w:val="20"/>
          <w:szCs w:val="20"/>
          <w:shd w:val="clear" w:color="auto" w:fill="FFFFFF"/>
        </w:rPr>
        <w:t>Advanced Materials</w:t>
      </w:r>
      <w:r>
        <w:rPr>
          <w:sz w:val="20"/>
          <w:szCs w:val="20"/>
          <w:shd w:val="clear" w:color="auto" w:fill="FFFFFF"/>
        </w:rPr>
        <w:t>, </w:t>
      </w:r>
      <w:r>
        <w:rPr>
          <w:i/>
          <w:iCs/>
          <w:sz w:val="20"/>
          <w:szCs w:val="20"/>
          <w:shd w:val="clear" w:color="auto" w:fill="FFFFFF"/>
        </w:rPr>
        <w:t>23</w:t>
      </w:r>
      <w:r>
        <w:rPr>
          <w:sz w:val="20"/>
          <w:szCs w:val="20"/>
          <w:shd w:val="clear" w:color="auto" w:fill="FFFFFF"/>
        </w:rPr>
        <w:t>(43), 4976-5008.</w:t>
      </w:r>
    </w:p>
    <w:p w14:paraId="234EFB72">
      <w:pPr>
        <w:jc w:val="both"/>
        <w:rPr>
          <w:sz w:val="20"/>
          <w:szCs w:val="20"/>
        </w:rPr>
      </w:pPr>
    </w:p>
    <w:p w14:paraId="7BE29EC5">
      <w:pPr>
        <w:jc w:val="both"/>
        <w:rPr>
          <w:sz w:val="20"/>
          <w:szCs w:val="20"/>
        </w:rPr>
      </w:pPr>
      <w:r>
        <w:rPr>
          <w:sz w:val="20"/>
          <w:szCs w:val="20"/>
          <w:shd w:val="clear" w:color="auto" w:fill="FFFFFF"/>
        </w:rPr>
        <w:t>Koh, T. M., Nonomura, K., Mathews, N., Hagfeldt, A., Grätzel, M., Mhaisalkar, S. G., &amp; Grimsdale, A. C. (2013). Influence of 4-tert-butylpyridine in DSCs with CoII/III redox mediator. </w:t>
      </w:r>
      <w:r>
        <w:rPr>
          <w:i/>
          <w:iCs/>
          <w:sz w:val="20"/>
          <w:szCs w:val="20"/>
          <w:shd w:val="clear" w:color="auto" w:fill="FFFFFF"/>
        </w:rPr>
        <w:t>The Journal of Physical Chemistry C</w:t>
      </w:r>
      <w:r>
        <w:rPr>
          <w:sz w:val="20"/>
          <w:szCs w:val="20"/>
          <w:shd w:val="clear" w:color="auto" w:fill="FFFFFF"/>
        </w:rPr>
        <w:t>, </w:t>
      </w:r>
      <w:r>
        <w:rPr>
          <w:i/>
          <w:iCs/>
          <w:sz w:val="20"/>
          <w:szCs w:val="20"/>
          <w:shd w:val="clear" w:color="auto" w:fill="FFFFFF"/>
        </w:rPr>
        <w:t>117</w:t>
      </w:r>
      <w:r>
        <w:rPr>
          <w:sz w:val="20"/>
          <w:szCs w:val="20"/>
          <w:shd w:val="clear" w:color="auto" w:fill="FFFFFF"/>
        </w:rPr>
        <w:t>(30), 15515-15522.</w:t>
      </w:r>
    </w:p>
    <w:p w14:paraId="3C0637BC">
      <w:pPr>
        <w:jc w:val="both"/>
        <w:rPr>
          <w:sz w:val="20"/>
          <w:szCs w:val="20"/>
        </w:rPr>
      </w:pPr>
    </w:p>
    <w:p w14:paraId="491828F6">
      <w:pPr>
        <w:jc w:val="both"/>
        <w:rPr>
          <w:sz w:val="20"/>
          <w:szCs w:val="20"/>
        </w:rPr>
      </w:pPr>
      <w:r>
        <w:rPr>
          <w:sz w:val="20"/>
          <w:szCs w:val="20"/>
          <w:shd w:val="clear" w:color="auto" w:fill="FFFFFF"/>
        </w:rPr>
        <w:t>Kong, F., &amp; Dai, S. (2022). The dyes used in dye-sensitized solar cells. </w:t>
      </w:r>
      <w:r>
        <w:rPr>
          <w:i/>
          <w:iCs/>
          <w:sz w:val="20"/>
          <w:szCs w:val="20"/>
          <w:shd w:val="clear" w:color="auto" w:fill="FFFFFF"/>
        </w:rPr>
        <w:t>Dye-sensitized Solar Cells</w:t>
      </w:r>
      <w:r>
        <w:rPr>
          <w:sz w:val="20"/>
          <w:szCs w:val="20"/>
          <w:shd w:val="clear" w:color="auto" w:fill="FFFFFF"/>
        </w:rPr>
        <w:t>, </w:t>
      </w:r>
      <w:r>
        <w:rPr>
          <w:i/>
          <w:iCs/>
          <w:sz w:val="20"/>
          <w:szCs w:val="20"/>
          <w:shd w:val="clear" w:color="auto" w:fill="FFFFFF"/>
        </w:rPr>
        <w:t>7</w:t>
      </w:r>
      <w:r>
        <w:rPr>
          <w:sz w:val="20"/>
          <w:szCs w:val="20"/>
          <w:shd w:val="clear" w:color="auto" w:fill="FFFFFF"/>
        </w:rPr>
        <w:t>, 139.</w:t>
      </w:r>
    </w:p>
    <w:p w14:paraId="6D5DB67A">
      <w:pPr>
        <w:jc w:val="both"/>
        <w:rPr>
          <w:sz w:val="20"/>
          <w:szCs w:val="20"/>
        </w:rPr>
      </w:pPr>
    </w:p>
    <w:p w14:paraId="16156C9C">
      <w:pPr>
        <w:jc w:val="both"/>
        <w:rPr>
          <w:sz w:val="20"/>
          <w:szCs w:val="20"/>
        </w:rPr>
      </w:pPr>
      <w:r>
        <mc:AlternateContent>
          <mc:Choice Requires="wps">
            <w:drawing>
              <wp:anchor distT="0" distB="0" distL="114300" distR="114300" simplePos="0" relativeHeight="251692032" behindDoc="0" locked="0" layoutInCell="1" allowOverlap="1">
                <wp:simplePos x="0" y="0"/>
                <wp:positionH relativeFrom="column">
                  <wp:posOffset>2838450</wp:posOffset>
                </wp:positionH>
                <wp:positionV relativeFrom="paragraph">
                  <wp:posOffset>984250</wp:posOffset>
                </wp:positionV>
                <wp:extent cx="495300" cy="316230"/>
                <wp:effectExtent l="0" t="0" r="0" b="0"/>
                <wp:wrapNone/>
                <wp:docPr id="27536295"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A9551FE">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77.5pt;height:24.9pt;width:39pt;z-index:251692032;mso-width-relative:page;mso-height-relative:page;" filled="f" stroked="f" coordsize="21600,21600" o:gfxdata="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f/wAM2gAAAAsBAAAPAAAAAAAAAAEAIAAAACIAAABkcnMvZG93bnJldi54&#10;bWxQSwECFAAUAAAACACHTuJAbYkHyzECAABrBAAADgAAAAAAAAABACAAAAApAQAAZHJzL2Uyb0Rv&#10;Yy54bWxQSwUGAAAAAAYABgBZAQAAzAUAAAAA&#10;">
                <v:fill on="f" focussize="0,0"/>
                <v:stroke on="f" weight="0.5pt"/>
                <v:imagedata o:title=""/>
                <o:lock v:ext="edit" aspectratio="f"/>
                <v:textbox>
                  <w:txbxContent>
                    <w:p w14:paraId="3A9551FE">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291</w:t>
                      </w:r>
                    </w:p>
                  </w:txbxContent>
                </v:textbox>
              </v:shape>
            </w:pict>
          </mc:Fallback>
        </mc:AlternateContent>
      </w:r>
      <w:r>
        <w:rPr>
          <w:sz w:val="20"/>
          <w:szCs w:val="20"/>
          <w:shd w:val="clear" w:color="auto" w:fill="FFFFFF"/>
        </w:rPr>
        <w:t>Kumar, P., You, S., &amp; Vomiero, A. (2023). Recent Progress in Materials and Device Design for Semitransparent Photovoltaic Technologies. </w:t>
      </w:r>
      <w:r>
        <w:rPr>
          <w:i/>
          <w:iCs/>
          <w:sz w:val="20"/>
          <w:szCs w:val="20"/>
          <w:shd w:val="clear" w:color="auto" w:fill="FFFFFF"/>
        </w:rPr>
        <w:t>Advanced Energy Materials</w:t>
      </w:r>
      <w:r>
        <w:rPr>
          <w:sz w:val="20"/>
          <w:szCs w:val="20"/>
          <w:shd w:val="clear" w:color="auto" w:fill="FFFFFF"/>
        </w:rPr>
        <w:t>, </w:t>
      </w:r>
      <w:r>
        <w:rPr>
          <w:i/>
          <w:iCs/>
          <w:sz w:val="20"/>
          <w:szCs w:val="20"/>
          <w:shd w:val="clear" w:color="auto" w:fill="FFFFFF"/>
        </w:rPr>
        <w:t>13</w:t>
      </w:r>
      <w:r>
        <w:rPr>
          <w:sz w:val="20"/>
          <w:szCs w:val="20"/>
          <w:shd w:val="clear" w:color="auto" w:fill="FFFFFF"/>
        </w:rPr>
        <w:t>(39), 2301555.</w:t>
      </w:r>
    </w:p>
    <w:p w14:paraId="44C918F7">
      <w:pPr>
        <w:jc w:val="both"/>
        <w:rPr>
          <w:sz w:val="20"/>
          <w:szCs w:val="20"/>
        </w:rPr>
      </w:pPr>
      <w:r>
        <w:rPr>
          <w:sz w:val="20"/>
          <w:szCs w:val="20"/>
          <w:shd w:val="clear" w:color="auto" w:fill="FFFFFF"/>
        </w:rPr>
        <w:t>Kumbar, M. N., Sannaikar, M. S., Shaikh, S. K. J., Kamble, A. A., Wari, M. N., Inamdar, S. R., ... &amp; Kamble, R. R. (2018). Synthesis, photophysical and computational study of novel coumarin‐based organic dyes. </w:t>
      </w:r>
      <w:r>
        <w:rPr>
          <w:i/>
          <w:iCs/>
          <w:sz w:val="20"/>
          <w:szCs w:val="20"/>
          <w:shd w:val="clear" w:color="auto" w:fill="FFFFFF"/>
        </w:rPr>
        <w:t>Photochemistry and photobiology</w:t>
      </w:r>
      <w:r>
        <w:rPr>
          <w:sz w:val="20"/>
          <w:szCs w:val="20"/>
          <w:shd w:val="clear" w:color="auto" w:fill="FFFFFF"/>
        </w:rPr>
        <w:t>, </w:t>
      </w:r>
      <w:r>
        <w:rPr>
          <w:i/>
          <w:iCs/>
          <w:sz w:val="20"/>
          <w:szCs w:val="20"/>
          <w:shd w:val="clear" w:color="auto" w:fill="FFFFFF"/>
        </w:rPr>
        <w:t>94</w:t>
      </w:r>
      <w:r>
        <w:rPr>
          <w:sz w:val="20"/>
          <w:szCs w:val="20"/>
          <w:shd w:val="clear" w:color="auto" w:fill="FFFFFF"/>
        </w:rPr>
        <w:t>(2), 261-276.</w:t>
      </w:r>
    </w:p>
    <w:p w14:paraId="44422CDB">
      <w:pPr>
        <w:jc w:val="both"/>
        <w:rPr>
          <w:sz w:val="20"/>
          <w:szCs w:val="20"/>
        </w:rPr>
      </w:pPr>
    </w:p>
    <w:p w14:paraId="08CE2958">
      <w:pPr>
        <w:jc w:val="both"/>
        <w:rPr>
          <w:sz w:val="20"/>
          <w:szCs w:val="20"/>
        </w:rPr>
      </w:pPr>
      <w:r>
        <w:rPr>
          <w:sz w:val="20"/>
          <w:szCs w:val="20"/>
          <w:shd w:val="clear" w:color="auto" w:fill="FFFFFF"/>
        </w:rPr>
        <w:t>Kusumawati, Y. (2015). </w:t>
      </w:r>
      <w:r>
        <w:rPr>
          <w:i/>
          <w:iCs/>
          <w:sz w:val="20"/>
          <w:szCs w:val="20"/>
          <w:shd w:val="clear" w:color="auto" w:fill="FFFFFF"/>
        </w:rPr>
        <w:t>Oxide and composite electron transport layers for efficient dye-sensitized solar cells</w:t>
      </w:r>
      <w:r>
        <w:rPr>
          <w:sz w:val="20"/>
          <w:szCs w:val="20"/>
          <w:shd w:val="clear" w:color="auto" w:fill="FFFFFF"/>
        </w:rPr>
        <w:t> (Doctoral dissertation, Université Pierre et Marie Curie-Paris VI; Institut teknologi Bandung).</w:t>
      </w:r>
    </w:p>
    <w:p w14:paraId="0165E310">
      <w:pPr>
        <w:jc w:val="both"/>
        <w:rPr>
          <w:sz w:val="20"/>
          <w:szCs w:val="20"/>
        </w:rPr>
      </w:pPr>
    </w:p>
    <w:p w14:paraId="55A01A8C">
      <w:pPr>
        <w:jc w:val="both"/>
        <w:rPr>
          <w:sz w:val="20"/>
          <w:szCs w:val="20"/>
        </w:rPr>
      </w:pPr>
      <w:r>
        <w:rPr>
          <w:sz w:val="20"/>
          <w:szCs w:val="20"/>
          <w:shd w:val="clear" w:color="auto" w:fill="FFFFFF"/>
        </w:rPr>
        <w:t>Lau, K. K., &amp; Soroush, M. (2019). Overview of dye-sensitized solar cells. </w:t>
      </w:r>
      <w:r>
        <w:rPr>
          <w:i/>
          <w:iCs/>
          <w:sz w:val="20"/>
          <w:szCs w:val="20"/>
          <w:shd w:val="clear" w:color="auto" w:fill="FFFFFF"/>
        </w:rPr>
        <w:t>Dye-Sensitized Solar Cells</w:t>
      </w:r>
      <w:r>
        <w:rPr>
          <w:sz w:val="20"/>
          <w:szCs w:val="20"/>
          <w:shd w:val="clear" w:color="auto" w:fill="FFFFFF"/>
        </w:rPr>
        <w:t>, 1-49.</w:t>
      </w:r>
    </w:p>
    <w:p w14:paraId="52905303">
      <w:pPr>
        <w:jc w:val="both"/>
        <w:rPr>
          <w:sz w:val="20"/>
          <w:szCs w:val="20"/>
        </w:rPr>
      </w:pPr>
    </w:p>
    <w:p w14:paraId="65EB9321">
      <w:pPr>
        <w:jc w:val="both"/>
        <w:rPr>
          <w:sz w:val="20"/>
          <w:szCs w:val="20"/>
        </w:rPr>
      </w:pPr>
      <w:r>
        <w:rPr>
          <w:sz w:val="20"/>
          <w:szCs w:val="20"/>
          <w:shd w:val="clear" w:color="auto" w:fill="FFFFFF"/>
        </w:rPr>
        <w:t>Lazic, S., Kaspler, P., Shi, G., Monro, S., Sainuddin, T., Forward, S., ... &amp; Lilge, L. (2017). Novel Osmium‐based Coordination Complexes as Photosensitizers for Panchromatic Photodynamic Therapy. </w:t>
      </w:r>
      <w:r>
        <w:rPr>
          <w:i/>
          <w:iCs/>
          <w:sz w:val="20"/>
          <w:szCs w:val="20"/>
          <w:shd w:val="clear" w:color="auto" w:fill="FFFFFF"/>
        </w:rPr>
        <w:t>Photochemistry and Photobiology</w:t>
      </w:r>
      <w:r>
        <w:rPr>
          <w:sz w:val="20"/>
          <w:szCs w:val="20"/>
          <w:shd w:val="clear" w:color="auto" w:fill="FFFFFF"/>
        </w:rPr>
        <w:t>, </w:t>
      </w:r>
      <w:r>
        <w:rPr>
          <w:i/>
          <w:iCs/>
          <w:sz w:val="20"/>
          <w:szCs w:val="20"/>
          <w:shd w:val="clear" w:color="auto" w:fill="FFFFFF"/>
        </w:rPr>
        <w:t>93</w:t>
      </w:r>
      <w:r>
        <w:rPr>
          <w:sz w:val="20"/>
          <w:szCs w:val="20"/>
          <w:shd w:val="clear" w:color="auto" w:fill="FFFFFF"/>
        </w:rPr>
        <w:t>(5), 1248-1258.</w:t>
      </w:r>
    </w:p>
    <w:p w14:paraId="33961CF0">
      <w:pPr>
        <w:jc w:val="both"/>
        <w:rPr>
          <w:sz w:val="20"/>
          <w:szCs w:val="20"/>
        </w:rPr>
      </w:pPr>
    </w:p>
    <w:p w14:paraId="2CA17F7A">
      <w:pPr>
        <w:jc w:val="both"/>
        <w:rPr>
          <w:sz w:val="20"/>
          <w:szCs w:val="20"/>
        </w:rPr>
      </w:pPr>
      <w:r>
        <w:rPr>
          <w:sz w:val="20"/>
          <w:szCs w:val="20"/>
          <w:shd w:val="clear" w:color="auto" w:fill="FFFFFF"/>
        </w:rPr>
        <w:t>Lee CW, Lu HP, Lan CM, Huang YL, Liang YR, Yen WN, Liu YC, Lin YS, Diau EW, Yeh CY. Novel zinc porphyrin sensitizers for dye-sensitized solar cells: synthesis and spectral, electrochemical, and photovoltaic properties. Chemistry. 2009;15(6):1403-12. doi: 10.1002/chem.200801572. PMID: 19097125.</w:t>
      </w:r>
    </w:p>
    <w:p w14:paraId="1B5A036E">
      <w:pPr>
        <w:jc w:val="both"/>
        <w:rPr>
          <w:sz w:val="20"/>
          <w:szCs w:val="20"/>
        </w:rPr>
      </w:pPr>
    </w:p>
    <w:p w14:paraId="0DFF2FFB">
      <w:pPr>
        <w:jc w:val="both"/>
        <w:rPr>
          <w:sz w:val="20"/>
          <w:szCs w:val="20"/>
        </w:rPr>
      </w:pPr>
      <w:r>
        <w:rPr>
          <w:sz w:val="20"/>
          <w:szCs w:val="20"/>
          <w:shd w:val="clear" w:color="auto" w:fill="FFFFFF"/>
        </w:rPr>
        <w:t>Lee, C. P., &amp; Ho, K. C. (2018). Poly (ionic liquid) s for dye-sensitized solar cells: A mini-review. </w:t>
      </w:r>
      <w:r>
        <w:rPr>
          <w:i/>
          <w:iCs/>
          <w:sz w:val="20"/>
          <w:szCs w:val="20"/>
          <w:shd w:val="clear" w:color="auto" w:fill="FFFFFF"/>
        </w:rPr>
        <w:t>European Polymer Journal</w:t>
      </w:r>
      <w:r>
        <w:rPr>
          <w:sz w:val="20"/>
          <w:szCs w:val="20"/>
          <w:shd w:val="clear" w:color="auto" w:fill="FFFFFF"/>
        </w:rPr>
        <w:t>, </w:t>
      </w:r>
      <w:r>
        <w:rPr>
          <w:i/>
          <w:iCs/>
          <w:sz w:val="20"/>
          <w:szCs w:val="20"/>
          <w:shd w:val="clear" w:color="auto" w:fill="FFFFFF"/>
        </w:rPr>
        <w:t>108</w:t>
      </w:r>
      <w:r>
        <w:rPr>
          <w:sz w:val="20"/>
          <w:szCs w:val="20"/>
          <w:shd w:val="clear" w:color="auto" w:fill="FFFFFF"/>
        </w:rPr>
        <w:t>, 420-428.</w:t>
      </w:r>
    </w:p>
    <w:p w14:paraId="6AF6FE0F">
      <w:pPr>
        <w:jc w:val="both"/>
        <w:rPr>
          <w:sz w:val="20"/>
          <w:szCs w:val="20"/>
        </w:rPr>
      </w:pPr>
    </w:p>
    <w:p w14:paraId="2404B826">
      <w:pPr>
        <w:jc w:val="both"/>
        <w:rPr>
          <w:sz w:val="20"/>
          <w:szCs w:val="20"/>
        </w:rPr>
      </w:pPr>
      <w:r>
        <w:rPr>
          <w:sz w:val="20"/>
          <w:szCs w:val="20"/>
          <w:shd w:val="clear" w:color="auto" w:fill="FFFFFF"/>
        </w:rPr>
        <w:t>Lewis, N. S. (2016). Research opportunities to advance solar energy utilization. </w:t>
      </w:r>
      <w:r>
        <w:rPr>
          <w:i/>
          <w:iCs/>
          <w:sz w:val="20"/>
          <w:szCs w:val="20"/>
          <w:shd w:val="clear" w:color="auto" w:fill="FFFFFF"/>
          <w:lang w:val="fr-FR"/>
        </w:rPr>
        <w:t>Science</w:t>
      </w:r>
      <w:r>
        <w:rPr>
          <w:sz w:val="20"/>
          <w:szCs w:val="20"/>
          <w:shd w:val="clear" w:color="auto" w:fill="FFFFFF"/>
          <w:lang w:val="fr-FR"/>
        </w:rPr>
        <w:t>, </w:t>
      </w:r>
      <w:r>
        <w:rPr>
          <w:i/>
          <w:iCs/>
          <w:sz w:val="20"/>
          <w:szCs w:val="20"/>
          <w:shd w:val="clear" w:color="auto" w:fill="FFFFFF"/>
          <w:lang w:val="fr-FR"/>
        </w:rPr>
        <w:t>351</w:t>
      </w:r>
      <w:r>
        <w:rPr>
          <w:sz w:val="20"/>
          <w:szCs w:val="20"/>
          <w:shd w:val="clear" w:color="auto" w:fill="FFFFFF"/>
          <w:lang w:val="fr-FR"/>
        </w:rPr>
        <w:t>(6271), aad1920.</w:t>
      </w:r>
    </w:p>
    <w:p w14:paraId="3C9D87C9">
      <w:pPr>
        <w:jc w:val="both"/>
        <w:rPr>
          <w:sz w:val="20"/>
          <w:szCs w:val="20"/>
        </w:rPr>
      </w:pPr>
    </w:p>
    <w:p w14:paraId="462464A6">
      <w:pPr>
        <w:jc w:val="both"/>
        <w:rPr>
          <w:sz w:val="20"/>
          <w:szCs w:val="20"/>
        </w:rPr>
      </w:pPr>
      <w:r>
        <w:rPr>
          <w:sz w:val="20"/>
          <w:szCs w:val="20"/>
          <w:shd w:val="clear" w:color="auto" w:fill="FFFFFF"/>
          <w:lang w:val="fr-FR"/>
        </w:rPr>
        <w:t xml:space="preserve">Li, D., Yu, D., Fan, Z., Lu, L., &amp; Chen, X. (2016). </w:t>
      </w:r>
      <w:r>
        <w:rPr>
          <w:sz w:val="20"/>
          <w:szCs w:val="20"/>
          <w:shd w:val="clear" w:color="auto" w:fill="FFFFFF"/>
        </w:rPr>
        <w:t>FLEXIBLE SOLAR CELLS. In </w:t>
      </w:r>
      <w:r>
        <w:rPr>
          <w:i/>
          <w:iCs/>
          <w:sz w:val="20"/>
          <w:szCs w:val="20"/>
          <w:shd w:val="clear" w:color="auto" w:fill="FFFFFF"/>
        </w:rPr>
        <w:t>Flexible Electronics: From Materials to Devices</w:t>
      </w:r>
      <w:r>
        <w:rPr>
          <w:sz w:val="20"/>
          <w:szCs w:val="20"/>
          <w:shd w:val="clear" w:color="auto" w:fill="FFFFFF"/>
        </w:rPr>
        <w:t> (pp. 365-409).</w:t>
      </w:r>
    </w:p>
    <w:p w14:paraId="1C31457B">
      <w:pPr>
        <w:jc w:val="both"/>
        <w:rPr>
          <w:sz w:val="20"/>
          <w:szCs w:val="20"/>
        </w:rPr>
      </w:pPr>
    </w:p>
    <w:p w14:paraId="3B0F4782">
      <w:pPr>
        <w:jc w:val="both"/>
        <w:rPr>
          <w:rStyle w:val="25"/>
          <w:color w:val="auto"/>
          <w:sz w:val="20"/>
          <w:szCs w:val="20"/>
          <w:u w:val="none"/>
        </w:rPr>
      </w:pPr>
      <w:r>
        <w:rPr>
          <w:sz w:val="20"/>
          <w:szCs w:val="20"/>
        </w:rPr>
        <w:t xml:space="preserve">Li, X., Li, P., Wu, Z., Luo, D., Yu, H.-Y., &amp; Lu, Z.-H. (2021). Review and perspective of materials for flexible solar cells. Materials Reports: Energy, 1(1), 100001. </w:t>
      </w:r>
      <w:r>
        <w:fldChar w:fldCharType="begin"/>
      </w:r>
      <w:r>
        <w:instrText xml:space="preserve"> HYPERLINK "https://doi.org/10.1016/j.matre.2020.09.001" </w:instrText>
      </w:r>
      <w:r>
        <w:fldChar w:fldCharType="separate"/>
      </w:r>
      <w:r>
        <w:rPr>
          <w:rStyle w:val="25"/>
          <w:rFonts w:eastAsiaTheme="majorEastAsia"/>
          <w:color w:val="auto"/>
          <w:sz w:val="20"/>
          <w:szCs w:val="20"/>
        </w:rPr>
        <w:t>https://doi.org/10.1016/j.matre.2020.09.001</w:t>
      </w:r>
      <w:r>
        <w:rPr>
          <w:rStyle w:val="25"/>
          <w:rFonts w:eastAsiaTheme="majorEastAsia"/>
          <w:color w:val="auto"/>
          <w:sz w:val="20"/>
          <w:szCs w:val="20"/>
        </w:rPr>
        <w:fldChar w:fldCharType="end"/>
      </w:r>
    </w:p>
    <w:p w14:paraId="614EE3ED">
      <w:pPr>
        <w:jc w:val="both"/>
        <w:rPr>
          <w:rStyle w:val="25"/>
          <w:color w:val="auto"/>
          <w:sz w:val="20"/>
          <w:szCs w:val="20"/>
          <w:u w:val="none"/>
        </w:rPr>
      </w:pPr>
    </w:p>
    <w:p w14:paraId="7A54C93B">
      <w:pPr>
        <w:jc w:val="both"/>
        <w:rPr>
          <w:sz w:val="20"/>
          <w:szCs w:val="20"/>
        </w:rPr>
      </w:pPr>
      <w:r>
        <w:rPr>
          <w:sz w:val="20"/>
          <w:szCs w:val="20"/>
          <w:shd w:val="clear" w:color="auto" w:fill="FFFFFF"/>
        </w:rPr>
        <w:t>Li, Y., Li, Y., Song, P., Ma, F., Liang, J., &amp; Sun, M. (2017). Screening and design of high-performance indoline-based dyes for DSSCs. </w:t>
      </w:r>
      <w:r>
        <w:rPr>
          <w:i/>
          <w:iCs/>
          <w:sz w:val="20"/>
          <w:szCs w:val="20"/>
          <w:shd w:val="clear" w:color="auto" w:fill="FFFFFF"/>
        </w:rPr>
        <w:t>RSC advances</w:t>
      </w:r>
      <w:r>
        <w:rPr>
          <w:sz w:val="20"/>
          <w:szCs w:val="20"/>
          <w:shd w:val="clear" w:color="auto" w:fill="FFFFFF"/>
        </w:rPr>
        <w:t>, </w:t>
      </w:r>
      <w:r>
        <w:rPr>
          <w:i/>
          <w:iCs/>
          <w:sz w:val="20"/>
          <w:szCs w:val="20"/>
          <w:shd w:val="clear" w:color="auto" w:fill="FFFFFF"/>
        </w:rPr>
        <w:t>7</w:t>
      </w:r>
      <w:r>
        <w:rPr>
          <w:sz w:val="20"/>
          <w:szCs w:val="20"/>
          <w:shd w:val="clear" w:color="auto" w:fill="FFFFFF"/>
        </w:rPr>
        <w:t>(33), 20520-20536.</w:t>
      </w:r>
    </w:p>
    <w:p w14:paraId="4B48B2B9">
      <w:pPr>
        <w:jc w:val="both"/>
        <w:rPr>
          <w:sz w:val="20"/>
          <w:szCs w:val="20"/>
        </w:rPr>
      </w:pPr>
    </w:p>
    <w:p w14:paraId="20463FDB">
      <w:pPr>
        <w:jc w:val="both"/>
        <w:rPr>
          <w:sz w:val="20"/>
          <w:szCs w:val="20"/>
        </w:rPr>
      </w:pPr>
      <w:r>
        <w:rPr>
          <w:sz w:val="20"/>
          <w:szCs w:val="20"/>
          <w:shd w:val="clear" w:color="auto" w:fill="FFFFFF"/>
          <w:lang w:val="fr-FR"/>
        </w:rPr>
        <w:t xml:space="preserve">Liu, B., Liu, Q., You, D., Li, X., Naruta, Y., &amp; Zhu, W. (2012). </w:t>
      </w:r>
      <w:r>
        <w:rPr>
          <w:sz w:val="20"/>
          <w:szCs w:val="20"/>
          <w:shd w:val="clear" w:color="auto" w:fill="FFFFFF"/>
        </w:rPr>
        <w:t>Molecular engineering of indoline based organic sensitizers for highly efficient dye-sensitized solar cells. </w:t>
      </w:r>
      <w:r>
        <w:rPr>
          <w:i/>
          <w:iCs/>
          <w:sz w:val="20"/>
          <w:szCs w:val="20"/>
          <w:shd w:val="clear" w:color="auto" w:fill="FFFFFF"/>
        </w:rPr>
        <w:t>Journal of Materials Chemistry</w:t>
      </w:r>
      <w:r>
        <w:rPr>
          <w:sz w:val="20"/>
          <w:szCs w:val="20"/>
          <w:shd w:val="clear" w:color="auto" w:fill="FFFFFF"/>
        </w:rPr>
        <w:t>, </w:t>
      </w:r>
      <w:r>
        <w:rPr>
          <w:i/>
          <w:iCs/>
          <w:sz w:val="20"/>
          <w:szCs w:val="20"/>
          <w:shd w:val="clear" w:color="auto" w:fill="FFFFFF"/>
        </w:rPr>
        <w:t>22</w:t>
      </w:r>
      <w:r>
        <w:rPr>
          <w:sz w:val="20"/>
          <w:szCs w:val="20"/>
          <w:shd w:val="clear" w:color="auto" w:fill="FFFFFF"/>
        </w:rPr>
        <w:t>(26), 13348-13356.</w:t>
      </w:r>
    </w:p>
    <w:p w14:paraId="71676E48">
      <w:pPr>
        <w:jc w:val="both"/>
        <w:rPr>
          <w:sz w:val="20"/>
          <w:szCs w:val="20"/>
        </w:rPr>
      </w:pPr>
    </w:p>
    <w:p w14:paraId="56920633">
      <w:pPr>
        <w:jc w:val="both"/>
        <w:rPr>
          <w:sz w:val="20"/>
          <w:szCs w:val="20"/>
        </w:rPr>
      </w:pPr>
      <w:r>
        <w:rPr>
          <w:sz w:val="20"/>
          <w:szCs w:val="20"/>
          <w:shd w:val="clear" w:color="auto" w:fill="FFFFFF"/>
        </w:rPr>
        <w:t>Liu, L., Cao, K., Chen, S., &amp; Huang, W. (2020). Toward see‐through optoelectronics: Transparent light‐emitting diodes and solar cells. </w:t>
      </w:r>
      <w:r>
        <w:rPr>
          <w:i/>
          <w:iCs/>
          <w:sz w:val="20"/>
          <w:szCs w:val="20"/>
          <w:shd w:val="clear" w:color="auto" w:fill="FFFFFF"/>
        </w:rPr>
        <w:t>Advanced Optical Materials</w:t>
      </w:r>
      <w:r>
        <w:rPr>
          <w:sz w:val="20"/>
          <w:szCs w:val="20"/>
          <w:shd w:val="clear" w:color="auto" w:fill="FFFFFF"/>
        </w:rPr>
        <w:t>, </w:t>
      </w:r>
      <w:r>
        <w:rPr>
          <w:i/>
          <w:iCs/>
          <w:sz w:val="20"/>
          <w:szCs w:val="20"/>
          <w:shd w:val="clear" w:color="auto" w:fill="FFFFFF"/>
        </w:rPr>
        <w:t>8</w:t>
      </w:r>
      <w:r>
        <w:rPr>
          <w:sz w:val="20"/>
          <w:szCs w:val="20"/>
          <w:shd w:val="clear" w:color="auto" w:fill="FFFFFF"/>
        </w:rPr>
        <w:t>(22), 2001122.</w:t>
      </w:r>
    </w:p>
    <w:p w14:paraId="3E74D6E3">
      <w:pPr>
        <w:jc w:val="both"/>
        <w:rPr>
          <w:sz w:val="20"/>
          <w:szCs w:val="20"/>
        </w:rPr>
      </w:pPr>
    </w:p>
    <w:p w14:paraId="5212FA57">
      <w:pPr>
        <w:jc w:val="both"/>
        <w:rPr>
          <w:sz w:val="20"/>
          <w:szCs w:val="20"/>
        </w:rPr>
      </w:pPr>
      <w:r>
        <w:rPr>
          <w:sz w:val="20"/>
          <w:szCs w:val="20"/>
          <w:shd w:val="clear" w:color="auto" w:fill="FFFFFF"/>
        </w:rPr>
        <w:t>Ludin, N. A., Mahmoud, A. A. A., Mohamad, A. B., Kadhum, A. A. H., Sopian, K., &amp; Karim, N. S. A. (2014). Review on the development of natural dye photosensitizer for dye-sensitized solar cells. </w:t>
      </w:r>
      <w:r>
        <w:rPr>
          <w:i/>
          <w:iCs/>
          <w:sz w:val="20"/>
          <w:szCs w:val="20"/>
          <w:shd w:val="clear" w:color="auto" w:fill="FFFFFF"/>
        </w:rPr>
        <w:t>Renewable and Sustainable Energy Reviews</w:t>
      </w:r>
      <w:r>
        <w:rPr>
          <w:sz w:val="20"/>
          <w:szCs w:val="20"/>
          <w:shd w:val="clear" w:color="auto" w:fill="FFFFFF"/>
        </w:rPr>
        <w:t>, </w:t>
      </w:r>
      <w:r>
        <w:rPr>
          <w:i/>
          <w:iCs/>
          <w:sz w:val="20"/>
          <w:szCs w:val="20"/>
          <w:shd w:val="clear" w:color="auto" w:fill="FFFFFF"/>
        </w:rPr>
        <w:t>31</w:t>
      </w:r>
      <w:r>
        <w:rPr>
          <w:sz w:val="20"/>
          <w:szCs w:val="20"/>
          <w:shd w:val="clear" w:color="auto" w:fill="FFFFFF"/>
        </w:rPr>
        <w:t>, 386-396.</w:t>
      </w:r>
    </w:p>
    <w:p w14:paraId="44454CDF">
      <w:pPr>
        <w:jc w:val="both"/>
        <w:rPr>
          <w:sz w:val="20"/>
          <w:szCs w:val="20"/>
        </w:rPr>
      </w:pPr>
    </w:p>
    <w:p w14:paraId="64242E1D">
      <w:pPr>
        <w:jc w:val="both"/>
        <w:rPr>
          <w:sz w:val="20"/>
          <w:szCs w:val="20"/>
        </w:rPr>
      </w:pPr>
      <w:r>
        <w:rPr>
          <w:sz w:val="20"/>
          <w:szCs w:val="20"/>
        </w:rPr>
        <w:t>M. A. Green, “Third generation photovoltaics: Solar cells for 2020 and beyond,” in Physica E: Low-Dimensional Systems and Nanostructures, Apr. 2002, vol. 14, no. 1–2, pp. 65–70, doi: 10.1016/S1386-9477(02)00361-2.</w:t>
      </w:r>
    </w:p>
    <w:p w14:paraId="29159AAA">
      <w:pPr>
        <w:jc w:val="both"/>
        <w:rPr>
          <w:sz w:val="20"/>
          <w:szCs w:val="20"/>
        </w:rPr>
      </w:pPr>
    </w:p>
    <w:p w14:paraId="74860FBF">
      <w:pPr>
        <w:jc w:val="both"/>
        <w:rPr>
          <w:sz w:val="20"/>
          <w:szCs w:val="20"/>
        </w:rPr>
      </w:pPr>
      <w:r>
        <w:rPr>
          <w:sz w:val="20"/>
          <w:szCs w:val="20"/>
          <w:shd w:val="clear" w:color="auto" w:fill="FFFFFF"/>
        </w:rPr>
        <w:t>Mahadik, S. A., Pathan, H. M., &amp; Salunke-Gawali, S. (2024). An Overview of Metal Complexes, Metal-Free and Natural Photosensitizers in Dye-Sensitized Solar Cells. </w:t>
      </w:r>
      <w:r>
        <w:rPr>
          <w:i/>
          <w:iCs/>
          <w:sz w:val="20"/>
          <w:szCs w:val="20"/>
          <w:shd w:val="clear" w:color="auto" w:fill="FFFFFF"/>
        </w:rPr>
        <w:t>ES Energy &amp; Environment</w:t>
      </w:r>
      <w:r>
        <w:rPr>
          <w:sz w:val="20"/>
          <w:szCs w:val="20"/>
          <w:shd w:val="clear" w:color="auto" w:fill="FFFFFF"/>
        </w:rPr>
        <w:t>.</w:t>
      </w:r>
    </w:p>
    <w:p w14:paraId="4DB56216">
      <w:pPr>
        <w:jc w:val="both"/>
        <w:rPr>
          <w:sz w:val="20"/>
          <w:szCs w:val="20"/>
        </w:rPr>
      </w:pPr>
    </w:p>
    <w:p w14:paraId="5B01101B">
      <w:pPr>
        <w:jc w:val="both"/>
        <w:rPr>
          <w:sz w:val="20"/>
          <w:szCs w:val="20"/>
        </w:rPr>
      </w:pPr>
      <w:r>
        <w:rPr>
          <w:sz w:val="20"/>
          <w:szCs w:val="20"/>
          <w:shd w:val="clear" w:color="auto" w:fill="FFFFFF"/>
        </w:rPr>
        <w:t>Mahalingam, S., &amp; Abdullah, H. (2016). Electron transport study of indium oxide as photoanode in DSSCs: A review. </w:t>
      </w:r>
      <w:r>
        <w:rPr>
          <w:i/>
          <w:iCs/>
          <w:sz w:val="20"/>
          <w:szCs w:val="20"/>
          <w:shd w:val="clear" w:color="auto" w:fill="FFFFFF"/>
        </w:rPr>
        <w:t>Renewable and Sustainable Energy Reviews</w:t>
      </w:r>
      <w:r>
        <w:rPr>
          <w:sz w:val="20"/>
          <w:szCs w:val="20"/>
          <w:shd w:val="clear" w:color="auto" w:fill="FFFFFF"/>
        </w:rPr>
        <w:t>, </w:t>
      </w:r>
      <w:r>
        <w:rPr>
          <w:i/>
          <w:iCs/>
          <w:sz w:val="20"/>
          <w:szCs w:val="20"/>
          <w:shd w:val="clear" w:color="auto" w:fill="FFFFFF"/>
        </w:rPr>
        <w:t>63</w:t>
      </w:r>
      <w:r>
        <w:rPr>
          <w:sz w:val="20"/>
          <w:szCs w:val="20"/>
          <w:shd w:val="clear" w:color="auto" w:fill="FFFFFF"/>
        </w:rPr>
        <w:t>, 245-255.</w:t>
      </w:r>
    </w:p>
    <w:p w14:paraId="2325425A">
      <w:pPr>
        <w:jc w:val="both"/>
        <w:rPr>
          <w:sz w:val="20"/>
          <w:szCs w:val="20"/>
        </w:rPr>
      </w:pPr>
    </w:p>
    <w:p w14:paraId="413DB7F7">
      <w:pPr>
        <w:jc w:val="both"/>
        <w:rPr>
          <w:sz w:val="20"/>
          <w:szCs w:val="20"/>
        </w:rPr>
      </w:pPr>
      <w:r>
        <w:rPr>
          <w:sz w:val="20"/>
          <w:szCs w:val="20"/>
          <w:shd w:val="clear" w:color="auto" w:fill="FFFFFF"/>
          <w:lang w:val="pt-PT"/>
        </w:rPr>
        <w:t xml:space="preserve">Mahalingam, S., Nugroho, A., Floresyona, D., Lau, K. S., Manap, A., Chia, C. H., &amp; Afandi, N. (2022). </w:t>
      </w:r>
      <w:r>
        <w:rPr>
          <w:sz w:val="20"/>
          <w:szCs w:val="20"/>
          <w:shd w:val="clear" w:color="auto" w:fill="FFFFFF"/>
        </w:rPr>
        <w:t>Bio and non‐bio materials‐based quasi‐solid state electrolytes in DSSC: A review. </w:t>
      </w:r>
      <w:r>
        <w:rPr>
          <w:i/>
          <w:iCs/>
          <w:sz w:val="20"/>
          <w:szCs w:val="20"/>
          <w:shd w:val="clear" w:color="auto" w:fill="FFFFFF"/>
        </w:rPr>
        <w:t>International Journal of Energy Research</w:t>
      </w:r>
      <w:r>
        <w:rPr>
          <w:sz w:val="20"/>
          <w:szCs w:val="20"/>
          <w:shd w:val="clear" w:color="auto" w:fill="FFFFFF"/>
        </w:rPr>
        <w:t>, </w:t>
      </w:r>
      <w:r>
        <w:rPr>
          <w:i/>
          <w:iCs/>
          <w:sz w:val="20"/>
          <w:szCs w:val="20"/>
          <w:shd w:val="clear" w:color="auto" w:fill="FFFFFF"/>
        </w:rPr>
        <w:t>46</w:t>
      </w:r>
      <w:r>
        <w:rPr>
          <w:sz w:val="20"/>
          <w:szCs w:val="20"/>
          <w:shd w:val="clear" w:color="auto" w:fill="FFFFFF"/>
        </w:rPr>
        <w:t>(5), 5399-5422.</w:t>
      </w:r>
    </w:p>
    <w:p w14:paraId="33CEDF89">
      <w:pPr>
        <w:jc w:val="both"/>
        <w:rPr>
          <w:sz w:val="20"/>
          <w:szCs w:val="20"/>
        </w:rPr>
      </w:pPr>
    </w:p>
    <w:p w14:paraId="6D155360">
      <w:pPr>
        <w:jc w:val="both"/>
        <w:rPr>
          <w:sz w:val="20"/>
          <w:szCs w:val="20"/>
        </w:rPr>
      </w:pPr>
      <w:r>
        <w:rPr>
          <w:sz w:val="20"/>
          <w:szCs w:val="20"/>
          <w:shd w:val="clear" w:color="auto" w:fill="FFFFFF"/>
        </w:rPr>
        <w:t>Mao, J., Zhang, X., Liu, S. H., Shen, Z., Li, X., Wu, W., ... &amp; Hua, J. (2015). Molecular engineering of DA-π-A dyes with 2-(1, 1-dicyanomethylene) rhodanine as an electron-accepting and anchoring group for dye-sensitized solar cells. </w:t>
      </w:r>
      <w:r>
        <w:rPr>
          <w:i/>
          <w:iCs/>
          <w:sz w:val="20"/>
          <w:szCs w:val="20"/>
          <w:shd w:val="clear" w:color="auto" w:fill="FFFFFF"/>
        </w:rPr>
        <w:t>Electrochimica Acta</w:t>
      </w:r>
      <w:r>
        <w:rPr>
          <w:sz w:val="20"/>
          <w:szCs w:val="20"/>
          <w:shd w:val="clear" w:color="auto" w:fill="FFFFFF"/>
        </w:rPr>
        <w:t>, </w:t>
      </w:r>
      <w:r>
        <w:rPr>
          <w:i/>
          <w:iCs/>
          <w:sz w:val="20"/>
          <w:szCs w:val="20"/>
          <w:shd w:val="clear" w:color="auto" w:fill="FFFFFF"/>
        </w:rPr>
        <w:t>179</w:t>
      </w:r>
      <w:r>
        <w:rPr>
          <w:sz w:val="20"/>
          <w:szCs w:val="20"/>
          <w:shd w:val="clear" w:color="auto" w:fill="FFFFFF"/>
        </w:rPr>
        <w:t>, 179-186.</w:t>
      </w:r>
    </w:p>
    <w:p w14:paraId="50AF4D27">
      <w:pPr>
        <w:jc w:val="both"/>
        <w:rPr>
          <w:sz w:val="20"/>
          <w:szCs w:val="20"/>
        </w:rPr>
      </w:pPr>
    </w:p>
    <w:p w14:paraId="093DF8D5">
      <w:pPr>
        <w:jc w:val="both"/>
        <w:rPr>
          <w:sz w:val="20"/>
          <w:szCs w:val="20"/>
        </w:rPr>
      </w:pPr>
      <w:r>
        <w:rPr>
          <w:sz w:val="20"/>
          <w:szCs w:val="20"/>
          <w:shd w:val="clear" w:color="auto" w:fill="FFFFFF"/>
        </w:rPr>
        <w:t>Mariotti, N., Bonomo, M., Fagiolari, L., Barbero, N., Gerbaldi, C., Bella, F., &amp; Barolo, C. (2020). Recent advances in eco-friendly and cost-effective materials towards sustainable dye-sensitized solar cells. </w:t>
      </w:r>
      <w:r>
        <w:rPr>
          <w:i/>
          <w:iCs/>
          <w:sz w:val="20"/>
          <w:szCs w:val="20"/>
          <w:shd w:val="clear" w:color="auto" w:fill="FFFFFF"/>
        </w:rPr>
        <w:t>Green chemistry</w:t>
      </w:r>
      <w:r>
        <w:rPr>
          <w:sz w:val="20"/>
          <w:szCs w:val="20"/>
          <w:shd w:val="clear" w:color="auto" w:fill="FFFFFF"/>
        </w:rPr>
        <w:t>, </w:t>
      </w:r>
      <w:r>
        <w:rPr>
          <w:i/>
          <w:iCs/>
          <w:sz w:val="20"/>
          <w:szCs w:val="20"/>
          <w:shd w:val="clear" w:color="auto" w:fill="FFFFFF"/>
        </w:rPr>
        <w:t>22</w:t>
      </w:r>
      <w:r>
        <w:rPr>
          <w:sz w:val="20"/>
          <w:szCs w:val="20"/>
          <w:shd w:val="clear" w:color="auto" w:fill="FFFFFF"/>
        </w:rPr>
        <w:t>(21), 7168-7218.</w:t>
      </w:r>
    </w:p>
    <w:p w14:paraId="22718E6C">
      <w:pPr>
        <w:jc w:val="both"/>
        <w:rPr>
          <w:sz w:val="20"/>
          <w:szCs w:val="20"/>
        </w:rPr>
      </w:pPr>
    </w:p>
    <w:p w14:paraId="10F4E502">
      <w:pPr>
        <w:jc w:val="both"/>
        <w:rPr>
          <w:sz w:val="20"/>
          <w:szCs w:val="20"/>
        </w:rPr>
      </w:pPr>
      <w:r>
        <w:rPr>
          <w:sz w:val="20"/>
          <w:szCs w:val="20"/>
          <w:shd w:val="clear" w:color="auto" w:fill="FFFFFF"/>
        </w:rPr>
        <w:t>Marques, M. A., &amp; Gross, E. K. (2004). Time-dependent density functional theory. </w:t>
      </w:r>
      <w:r>
        <w:rPr>
          <w:i/>
          <w:iCs/>
          <w:sz w:val="20"/>
          <w:szCs w:val="20"/>
          <w:shd w:val="clear" w:color="auto" w:fill="FFFFFF"/>
        </w:rPr>
        <w:t>Annu. Rev. Phys. Chem.</w:t>
      </w:r>
      <w:r>
        <w:rPr>
          <w:sz w:val="20"/>
          <w:szCs w:val="20"/>
          <w:shd w:val="clear" w:color="auto" w:fill="FFFFFF"/>
        </w:rPr>
        <w:t>, </w:t>
      </w:r>
      <w:r>
        <w:rPr>
          <w:i/>
          <w:iCs/>
          <w:sz w:val="20"/>
          <w:szCs w:val="20"/>
          <w:shd w:val="clear" w:color="auto" w:fill="FFFFFF"/>
        </w:rPr>
        <w:t>55</w:t>
      </w:r>
      <w:r>
        <w:rPr>
          <w:sz w:val="20"/>
          <w:szCs w:val="20"/>
          <w:shd w:val="clear" w:color="auto" w:fill="FFFFFF"/>
        </w:rPr>
        <w:t>, 427-455.</w:t>
      </w:r>
    </w:p>
    <w:p w14:paraId="53ED17A8">
      <w:pPr>
        <w:jc w:val="both"/>
        <w:rPr>
          <w:sz w:val="20"/>
          <w:szCs w:val="20"/>
        </w:rPr>
      </w:pPr>
    </w:p>
    <w:p w14:paraId="4FEEB2EE">
      <w:pPr>
        <w:jc w:val="both"/>
        <w:rPr>
          <w:sz w:val="20"/>
          <w:szCs w:val="20"/>
        </w:rPr>
      </w:pPr>
      <w:r>
        <w:rPr>
          <w:sz w:val="20"/>
          <w:szCs w:val="20"/>
          <w:shd w:val="clear" w:color="auto" w:fill="FFFFFF"/>
        </w:rPr>
        <w:t>Martsinovich, N., &amp; Troisi, A. (2011). Theoretical studies of dye-sensitised solar cells: from electronic structure to elementary processes. </w:t>
      </w:r>
      <w:r>
        <w:rPr>
          <w:i/>
          <w:iCs/>
          <w:sz w:val="20"/>
          <w:szCs w:val="20"/>
          <w:shd w:val="clear" w:color="auto" w:fill="FFFFFF"/>
        </w:rPr>
        <w:t>Energy &amp; Environmental Science</w:t>
      </w:r>
      <w:r>
        <w:rPr>
          <w:sz w:val="20"/>
          <w:szCs w:val="20"/>
          <w:shd w:val="clear" w:color="auto" w:fill="FFFFFF"/>
        </w:rPr>
        <w:t>, </w:t>
      </w:r>
      <w:r>
        <w:rPr>
          <w:i/>
          <w:iCs/>
          <w:sz w:val="20"/>
          <w:szCs w:val="20"/>
          <w:shd w:val="clear" w:color="auto" w:fill="FFFFFF"/>
        </w:rPr>
        <w:t>4</w:t>
      </w:r>
      <w:r>
        <w:rPr>
          <w:sz w:val="20"/>
          <w:szCs w:val="20"/>
          <w:shd w:val="clear" w:color="auto" w:fill="FFFFFF"/>
        </w:rPr>
        <w:t>(11), 4473-4495.</w:t>
      </w:r>
    </w:p>
    <w:p w14:paraId="7A32457C">
      <w:pPr>
        <w:jc w:val="both"/>
        <w:rPr>
          <w:sz w:val="20"/>
          <w:szCs w:val="20"/>
        </w:rPr>
      </w:pPr>
    </w:p>
    <w:p w14:paraId="76100B30">
      <w:pPr>
        <w:jc w:val="both"/>
        <w:rPr>
          <w:sz w:val="20"/>
          <w:szCs w:val="20"/>
        </w:rPr>
      </w:pPr>
      <w:r>
        <mc:AlternateContent>
          <mc:Choice Requires="wps">
            <w:drawing>
              <wp:anchor distT="0" distB="0" distL="114300" distR="114300" simplePos="0" relativeHeight="251693056" behindDoc="0" locked="0" layoutInCell="1" allowOverlap="1">
                <wp:simplePos x="0" y="0"/>
                <wp:positionH relativeFrom="column">
                  <wp:posOffset>2838450</wp:posOffset>
                </wp:positionH>
                <wp:positionV relativeFrom="paragraph">
                  <wp:posOffset>990600</wp:posOffset>
                </wp:positionV>
                <wp:extent cx="495300" cy="316230"/>
                <wp:effectExtent l="0" t="0" r="0" b="0"/>
                <wp:wrapNone/>
                <wp:docPr id="166337128"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6EB53DD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78pt;height:24.9pt;width:39pt;z-index:251693056;mso-width-relative:page;mso-height-relative:page;" filled="f" stroked="f" coordsize="21600,21600" o:gfxdata="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sSPJNsAAAALAQAADwAAAAAAAAABACAAAAAiAAAAZHJzL2Rvd25yZXYu&#10;eG1sUEsBAhQAFAAAAAgAh07iQJrsXqMxAgAAbAQAAA4AAAAAAAAAAQAgAAAAKgEAAGRycy9lMm9E&#10;b2MueG1sUEsFBgAAAAAGAAYAWQEAAM0FAAAAAA==&#10;">
                <v:fill on="f" focussize="0,0"/>
                <v:stroke on="f" weight="0.5pt"/>
                <v:imagedata o:title=""/>
                <o:lock v:ext="edit" aspectratio="f"/>
                <v:textbox>
                  <w:txbxContent>
                    <w:p w14:paraId="6EB53DDC">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292</w:t>
                      </w:r>
                    </w:p>
                  </w:txbxContent>
                </v:textbox>
              </v:shape>
            </w:pict>
          </mc:Fallback>
        </mc:AlternateContent>
      </w:r>
      <w:r>
        <w:rPr>
          <w:sz w:val="20"/>
          <w:szCs w:val="20"/>
          <w:shd w:val="clear" w:color="auto" w:fill="FFFFFF"/>
        </w:rPr>
        <w:t>McCall, K. L., Jennings, J. R., Wang, H., Morandeira, A., Peter, L. M., Durrant, J. R., ... &amp; Robertson, N. (2009). Novel ruthenium bipyridyl dyes with S-donor ligands and their application in dye-sensitized solar cells. </w:t>
      </w:r>
      <w:r>
        <w:rPr>
          <w:i/>
          <w:iCs/>
          <w:sz w:val="20"/>
          <w:szCs w:val="20"/>
          <w:shd w:val="clear" w:color="auto" w:fill="FFFFFF"/>
        </w:rPr>
        <w:t>Journal of Photochemistry and Photobiology A: Chemistry</w:t>
      </w:r>
      <w:r>
        <w:rPr>
          <w:sz w:val="20"/>
          <w:szCs w:val="20"/>
          <w:shd w:val="clear" w:color="auto" w:fill="FFFFFF"/>
        </w:rPr>
        <w:t>, </w:t>
      </w:r>
      <w:r>
        <w:rPr>
          <w:i/>
          <w:iCs/>
          <w:sz w:val="20"/>
          <w:szCs w:val="20"/>
          <w:shd w:val="clear" w:color="auto" w:fill="FFFFFF"/>
        </w:rPr>
        <w:t>202</w:t>
      </w:r>
      <w:r>
        <w:rPr>
          <w:sz w:val="20"/>
          <w:szCs w:val="20"/>
          <w:shd w:val="clear" w:color="auto" w:fill="FFFFFF"/>
        </w:rPr>
        <w:t>(2-3), 196-204.</w:t>
      </w:r>
    </w:p>
    <w:p w14:paraId="31C36687">
      <w:pPr>
        <w:jc w:val="both"/>
        <w:rPr>
          <w:sz w:val="20"/>
          <w:szCs w:val="20"/>
        </w:rPr>
      </w:pPr>
    </w:p>
    <w:p w14:paraId="5211606D">
      <w:pPr>
        <w:jc w:val="both"/>
        <w:rPr>
          <w:sz w:val="20"/>
          <w:szCs w:val="20"/>
        </w:rPr>
      </w:pPr>
      <w:r>
        <w:rPr>
          <w:sz w:val="20"/>
          <w:szCs w:val="20"/>
          <w:shd w:val="clear" w:color="auto" w:fill="FFFFFF"/>
        </w:rPr>
        <w:t>Mehmood, U., Rahman, S. U., Harrabi, K., Hussein, I. A., &amp; Reddy, B. V. S. (2014). Recent advances in dye sensitized solar cells. </w:t>
      </w:r>
      <w:r>
        <w:rPr>
          <w:i/>
          <w:iCs/>
          <w:sz w:val="20"/>
          <w:szCs w:val="20"/>
          <w:shd w:val="clear" w:color="auto" w:fill="FFFFFF"/>
        </w:rPr>
        <w:t>Advances in Materials Science and Engineering</w:t>
      </w:r>
      <w:r>
        <w:rPr>
          <w:sz w:val="20"/>
          <w:szCs w:val="20"/>
          <w:shd w:val="clear" w:color="auto" w:fill="FFFFFF"/>
        </w:rPr>
        <w:t>, </w:t>
      </w:r>
      <w:r>
        <w:rPr>
          <w:i/>
          <w:iCs/>
          <w:sz w:val="20"/>
          <w:szCs w:val="20"/>
          <w:shd w:val="clear" w:color="auto" w:fill="FFFFFF"/>
        </w:rPr>
        <w:t>2014</w:t>
      </w:r>
      <w:r>
        <w:rPr>
          <w:sz w:val="20"/>
          <w:szCs w:val="20"/>
          <w:shd w:val="clear" w:color="auto" w:fill="FFFFFF"/>
        </w:rPr>
        <w:t>.</w:t>
      </w:r>
    </w:p>
    <w:p w14:paraId="3129DFD6">
      <w:pPr>
        <w:jc w:val="both"/>
        <w:rPr>
          <w:sz w:val="20"/>
          <w:szCs w:val="20"/>
        </w:rPr>
      </w:pPr>
    </w:p>
    <w:p w14:paraId="1D88EECE">
      <w:pPr>
        <w:jc w:val="both"/>
        <w:rPr>
          <w:sz w:val="20"/>
          <w:szCs w:val="20"/>
        </w:rPr>
      </w:pPr>
      <w:r>
        <w:rPr>
          <w:sz w:val="20"/>
          <w:szCs w:val="20"/>
          <w:shd w:val="clear" w:color="auto" w:fill="FFFFFF"/>
        </w:rPr>
        <w:t>Meng, X., Liu, Y., Wang, Z., Zhang, Y., Wang, X., &amp; Qiu, J. (2021). A quasi-solid-state rechargeable cell with high energy and superior safety enabled by stable redox chemistry of Li 2 S in gel electrolyte. </w:t>
      </w:r>
      <w:r>
        <w:rPr>
          <w:i/>
          <w:iCs/>
          <w:sz w:val="20"/>
          <w:szCs w:val="20"/>
          <w:shd w:val="clear" w:color="auto" w:fill="FFFFFF"/>
        </w:rPr>
        <w:t>Energy &amp; Environmental Science</w:t>
      </w:r>
      <w:r>
        <w:rPr>
          <w:sz w:val="20"/>
          <w:szCs w:val="20"/>
          <w:shd w:val="clear" w:color="auto" w:fill="FFFFFF"/>
        </w:rPr>
        <w:t>, </w:t>
      </w:r>
      <w:r>
        <w:rPr>
          <w:i/>
          <w:iCs/>
          <w:sz w:val="20"/>
          <w:szCs w:val="20"/>
          <w:shd w:val="clear" w:color="auto" w:fill="FFFFFF"/>
        </w:rPr>
        <w:t>14</w:t>
      </w:r>
      <w:r>
        <w:rPr>
          <w:sz w:val="20"/>
          <w:szCs w:val="20"/>
          <w:shd w:val="clear" w:color="auto" w:fill="FFFFFF"/>
        </w:rPr>
        <w:t>(4), 2278-2290.</w:t>
      </w:r>
    </w:p>
    <w:p w14:paraId="4F3E6F4A">
      <w:pPr>
        <w:jc w:val="both"/>
        <w:rPr>
          <w:sz w:val="20"/>
          <w:szCs w:val="20"/>
        </w:rPr>
      </w:pPr>
    </w:p>
    <w:p w14:paraId="58F1DF8E">
      <w:pPr>
        <w:jc w:val="both"/>
        <w:rPr>
          <w:sz w:val="20"/>
          <w:szCs w:val="20"/>
        </w:rPr>
      </w:pPr>
      <w:r>
        <w:rPr>
          <w:sz w:val="20"/>
          <w:szCs w:val="20"/>
          <w:shd w:val="clear" w:color="auto" w:fill="FFFFFF"/>
        </w:rPr>
        <w:t>Nazeeruddin, M. K., Kay, A., Rodicio, I., Humphry-Baker, R., Müller, E., Liska, P., ... &amp; Grätzel, M. (1993). Conversion of light to electricity by cis-X2bis (2, 2'-bipyridyl-4, 4'-dicarboxylate) ruthenium (II) charge-transfer sensitizers (X= Cl-, Br-, I-, CN-, and SCN-) on nanocrystalline titanium dioxide electrodes. </w:t>
      </w:r>
      <w:r>
        <w:rPr>
          <w:i/>
          <w:iCs/>
          <w:sz w:val="20"/>
          <w:szCs w:val="20"/>
          <w:shd w:val="clear" w:color="auto" w:fill="FFFFFF"/>
        </w:rPr>
        <w:t>Journal of the American Chemical Society</w:t>
      </w:r>
      <w:r>
        <w:rPr>
          <w:sz w:val="20"/>
          <w:szCs w:val="20"/>
          <w:shd w:val="clear" w:color="auto" w:fill="FFFFFF"/>
        </w:rPr>
        <w:t>, </w:t>
      </w:r>
      <w:r>
        <w:rPr>
          <w:i/>
          <w:iCs/>
          <w:sz w:val="20"/>
          <w:szCs w:val="20"/>
          <w:shd w:val="clear" w:color="auto" w:fill="FFFFFF"/>
        </w:rPr>
        <w:t>115</w:t>
      </w:r>
      <w:r>
        <w:rPr>
          <w:sz w:val="20"/>
          <w:szCs w:val="20"/>
          <w:shd w:val="clear" w:color="auto" w:fill="FFFFFF"/>
        </w:rPr>
        <w:t>(14), 6382-6390.</w:t>
      </w:r>
    </w:p>
    <w:p w14:paraId="4EEBC72B">
      <w:pPr>
        <w:jc w:val="both"/>
        <w:rPr>
          <w:sz w:val="20"/>
          <w:szCs w:val="20"/>
        </w:rPr>
      </w:pPr>
    </w:p>
    <w:p w14:paraId="46A680BD">
      <w:pPr>
        <w:jc w:val="both"/>
        <w:rPr>
          <w:sz w:val="20"/>
          <w:szCs w:val="20"/>
        </w:rPr>
      </w:pPr>
      <w:r>
        <w:rPr>
          <w:sz w:val="20"/>
          <w:szCs w:val="20"/>
          <w:shd w:val="clear" w:color="auto" w:fill="FFFFFF"/>
        </w:rPr>
        <w:t>Nazeeruddin, M. K., Klein, C., Liska, P., &amp; Grätzel, M. (2005). Synthesis of novel ruthenium sensitizers and their application in dye-sensitized solar cells. </w:t>
      </w:r>
      <w:r>
        <w:rPr>
          <w:i/>
          <w:iCs/>
          <w:sz w:val="20"/>
          <w:szCs w:val="20"/>
          <w:shd w:val="clear" w:color="auto" w:fill="FFFFFF"/>
        </w:rPr>
        <w:t>Coordination chemistry reviews</w:t>
      </w:r>
      <w:r>
        <w:rPr>
          <w:sz w:val="20"/>
          <w:szCs w:val="20"/>
          <w:shd w:val="clear" w:color="auto" w:fill="FFFFFF"/>
        </w:rPr>
        <w:t>, </w:t>
      </w:r>
      <w:r>
        <w:rPr>
          <w:i/>
          <w:iCs/>
          <w:sz w:val="20"/>
          <w:szCs w:val="20"/>
          <w:shd w:val="clear" w:color="auto" w:fill="FFFFFF"/>
        </w:rPr>
        <w:t>249</w:t>
      </w:r>
      <w:r>
        <w:rPr>
          <w:sz w:val="20"/>
          <w:szCs w:val="20"/>
          <w:shd w:val="clear" w:color="auto" w:fill="FFFFFF"/>
        </w:rPr>
        <w:t>(13-14), 1460-1467.</w:t>
      </w:r>
    </w:p>
    <w:p w14:paraId="7B2518AD">
      <w:pPr>
        <w:jc w:val="both"/>
        <w:rPr>
          <w:sz w:val="20"/>
          <w:szCs w:val="20"/>
        </w:rPr>
      </w:pPr>
    </w:p>
    <w:p w14:paraId="7D3DA3EB">
      <w:pPr>
        <w:jc w:val="both"/>
        <w:rPr>
          <w:sz w:val="20"/>
          <w:szCs w:val="20"/>
        </w:rPr>
      </w:pPr>
      <w:r>
        <w:rPr>
          <w:sz w:val="20"/>
          <w:szCs w:val="20"/>
          <w:shd w:val="clear" w:color="auto" w:fill="FFFFFF"/>
          <w:lang w:val="fr-FR"/>
        </w:rPr>
        <w:t xml:space="preserve">Ndaleh, D., Kaur, R., Hogue, A., &amp; Delcamp, J. H. (2023). </w:t>
      </w:r>
      <w:r>
        <w:rPr>
          <w:sz w:val="20"/>
          <w:szCs w:val="20"/>
          <w:shd w:val="clear" w:color="auto" w:fill="FFFFFF"/>
        </w:rPr>
        <w:t>Benzothiophene-Based Cross-Conjugated Organic Dyes for High-Photocurrent Dye-Sensitized Solar Cells with Photocurrents up to 27 mA/cm2. </w:t>
      </w:r>
      <w:r>
        <w:rPr>
          <w:i/>
          <w:iCs/>
          <w:sz w:val="20"/>
          <w:szCs w:val="20"/>
          <w:shd w:val="clear" w:color="auto" w:fill="FFFFFF"/>
        </w:rPr>
        <w:t>ACS Applied Energy Materials</w:t>
      </w:r>
      <w:r>
        <w:rPr>
          <w:sz w:val="20"/>
          <w:szCs w:val="20"/>
          <w:shd w:val="clear" w:color="auto" w:fill="FFFFFF"/>
        </w:rPr>
        <w:t>, </w:t>
      </w:r>
      <w:r>
        <w:rPr>
          <w:i/>
          <w:iCs/>
          <w:sz w:val="20"/>
          <w:szCs w:val="20"/>
          <w:shd w:val="clear" w:color="auto" w:fill="FFFFFF"/>
        </w:rPr>
        <w:t>6</w:t>
      </w:r>
      <w:r>
        <w:rPr>
          <w:sz w:val="20"/>
          <w:szCs w:val="20"/>
          <w:shd w:val="clear" w:color="auto" w:fill="FFFFFF"/>
        </w:rPr>
        <w:t>(20), 10376-10388.</w:t>
      </w:r>
    </w:p>
    <w:p w14:paraId="17C64C91">
      <w:pPr>
        <w:jc w:val="both"/>
        <w:rPr>
          <w:sz w:val="20"/>
          <w:szCs w:val="20"/>
        </w:rPr>
      </w:pPr>
    </w:p>
    <w:p w14:paraId="448EDD4B">
      <w:pPr>
        <w:jc w:val="both"/>
        <w:rPr>
          <w:sz w:val="20"/>
          <w:szCs w:val="20"/>
        </w:rPr>
      </w:pPr>
      <w:r>
        <w:rPr>
          <w:sz w:val="20"/>
          <w:szCs w:val="20"/>
          <w:shd w:val="clear" w:color="auto" w:fill="FFFFFF"/>
        </w:rPr>
        <w:t>Newell, R., Raimi, D., Villanueva, S., &amp; Prest, B. (2020). Global Energy Outlook 2020: energy transition or energy addition. </w:t>
      </w:r>
      <w:r>
        <w:rPr>
          <w:i/>
          <w:iCs/>
          <w:sz w:val="20"/>
          <w:szCs w:val="20"/>
          <w:shd w:val="clear" w:color="auto" w:fill="FFFFFF"/>
        </w:rPr>
        <w:t>Resources for the Future</w:t>
      </w:r>
      <w:r>
        <w:rPr>
          <w:sz w:val="20"/>
          <w:szCs w:val="20"/>
          <w:shd w:val="clear" w:color="auto" w:fill="FFFFFF"/>
        </w:rPr>
        <w:t>.</w:t>
      </w:r>
    </w:p>
    <w:p w14:paraId="356F8A99">
      <w:pPr>
        <w:jc w:val="both"/>
        <w:rPr>
          <w:sz w:val="20"/>
          <w:szCs w:val="20"/>
        </w:rPr>
      </w:pPr>
    </w:p>
    <w:p w14:paraId="6FC379C2">
      <w:pPr>
        <w:jc w:val="both"/>
        <w:rPr>
          <w:sz w:val="20"/>
          <w:szCs w:val="20"/>
        </w:rPr>
      </w:pPr>
      <w:r>
        <w:rPr>
          <w:sz w:val="20"/>
          <w:szCs w:val="20"/>
          <w:shd w:val="clear" w:color="auto" w:fill="FFFFFF"/>
        </w:rPr>
        <w:t>Odobel, F., &amp; Pellegrin, Y. (2013). Recent advances in the sensitization of wide-band-gap nanostructured p-type semiconductors. Photovoltaic and photocatalytic applications. </w:t>
      </w:r>
      <w:r>
        <w:rPr>
          <w:i/>
          <w:iCs/>
          <w:sz w:val="20"/>
          <w:szCs w:val="20"/>
          <w:shd w:val="clear" w:color="auto" w:fill="FFFFFF"/>
        </w:rPr>
        <w:t>The journal of physical chemistry letters</w:t>
      </w:r>
      <w:r>
        <w:rPr>
          <w:sz w:val="20"/>
          <w:szCs w:val="20"/>
          <w:shd w:val="clear" w:color="auto" w:fill="FFFFFF"/>
        </w:rPr>
        <w:t>, </w:t>
      </w:r>
      <w:r>
        <w:rPr>
          <w:i/>
          <w:iCs/>
          <w:sz w:val="20"/>
          <w:szCs w:val="20"/>
          <w:shd w:val="clear" w:color="auto" w:fill="FFFFFF"/>
        </w:rPr>
        <w:t>4</w:t>
      </w:r>
      <w:r>
        <w:rPr>
          <w:sz w:val="20"/>
          <w:szCs w:val="20"/>
          <w:shd w:val="clear" w:color="auto" w:fill="FFFFFF"/>
        </w:rPr>
        <w:t>(15), 2551-2564.</w:t>
      </w:r>
    </w:p>
    <w:p w14:paraId="0C2D3B1A">
      <w:pPr>
        <w:jc w:val="both"/>
        <w:rPr>
          <w:sz w:val="20"/>
          <w:szCs w:val="20"/>
        </w:rPr>
      </w:pPr>
    </w:p>
    <w:p w14:paraId="62251048">
      <w:pPr>
        <w:jc w:val="both"/>
        <w:rPr>
          <w:sz w:val="20"/>
          <w:szCs w:val="20"/>
        </w:rPr>
      </w:pPr>
      <w:r>
        <w:rPr>
          <w:sz w:val="20"/>
          <w:szCs w:val="20"/>
          <w:shd w:val="clear" w:color="auto" w:fill="FFFFFF"/>
        </w:rPr>
        <w:t>Olsson, G. (2015). </w:t>
      </w:r>
      <w:r>
        <w:rPr>
          <w:i/>
          <w:iCs/>
          <w:sz w:val="20"/>
          <w:szCs w:val="20"/>
          <w:shd w:val="clear" w:color="auto" w:fill="FFFFFF"/>
        </w:rPr>
        <w:t>Water and energy: threats and opportunities</w:t>
      </w:r>
      <w:r>
        <w:rPr>
          <w:sz w:val="20"/>
          <w:szCs w:val="20"/>
          <w:shd w:val="clear" w:color="auto" w:fill="FFFFFF"/>
        </w:rPr>
        <w:t>. IWA publishing.</w:t>
      </w:r>
    </w:p>
    <w:p w14:paraId="52B0BA9E">
      <w:pPr>
        <w:jc w:val="both"/>
        <w:rPr>
          <w:sz w:val="20"/>
          <w:szCs w:val="20"/>
        </w:rPr>
      </w:pPr>
    </w:p>
    <w:p w14:paraId="419335EC">
      <w:pPr>
        <w:jc w:val="both"/>
        <w:rPr>
          <w:sz w:val="20"/>
          <w:szCs w:val="20"/>
        </w:rPr>
      </w:pPr>
      <w:r>
        <w:rPr>
          <w:sz w:val="20"/>
          <w:szCs w:val="20"/>
          <w:shd w:val="clear" w:color="auto" w:fill="FFFFFF"/>
        </w:rPr>
        <w:t>Ondersma, J. W., &amp; Hamann, T. W. (2013). Recombination and redox couples in dye-sensitized solar cells. </w:t>
      </w:r>
      <w:r>
        <w:rPr>
          <w:i/>
          <w:iCs/>
          <w:sz w:val="20"/>
          <w:szCs w:val="20"/>
          <w:shd w:val="clear" w:color="auto" w:fill="FFFFFF"/>
        </w:rPr>
        <w:t>Coordination Chemistry Reviews</w:t>
      </w:r>
      <w:r>
        <w:rPr>
          <w:sz w:val="20"/>
          <w:szCs w:val="20"/>
          <w:shd w:val="clear" w:color="auto" w:fill="FFFFFF"/>
        </w:rPr>
        <w:t>, </w:t>
      </w:r>
      <w:r>
        <w:rPr>
          <w:i/>
          <w:iCs/>
          <w:sz w:val="20"/>
          <w:szCs w:val="20"/>
          <w:shd w:val="clear" w:color="auto" w:fill="FFFFFF"/>
        </w:rPr>
        <w:t>257</w:t>
      </w:r>
      <w:r>
        <w:rPr>
          <w:sz w:val="20"/>
          <w:szCs w:val="20"/>
          <w:shd w:val="clear" w:color="auto" w:fill="FFFFFF"/>
        </w:rPr>
        <w:t>(9-10), 1533-1543.</w:t>
      </w:r>
    </w:p>
    <w:p w14:paraId="57CEA4DC">
      <w:pPr>
        <w:jc w:val="both"/>
        <w:rPr>
          <w:sz w:val="20"/>
          <w:szCs w:val="20"/>
        </w:rPr>
      </w:pPr>
    </w:p>
    <w:p w14:paraId="1D012C41">
      <w:pPr>
        <w:jc w:val="both"/>
        <w:rPr>
          <w:sz w:val="20"/>
          <w:szCs w:val="20"/>
        </w:rPr>
      </w:pPr>
      <w:r>
        <w:rPr>
          <w:sz w:val="20"/>
          <w:szCs w:val="20"/>
          <w:shd w:val="clear" w:color="auto" w:fill="FFFFFF"/>
        </w:rPr>
        <w:t>Park, J. H., Ji, S. G., Park, I. J., Hwang, S. K., Lim, H. W., &amp; Kim, J. Y. (2022). Sub-cell characterization of two-terminal perovskite/silicon tandem solar cells. </w:t>
      </w:r>
      <w:r>
        <w:rPr>
          <w:i/>
          <w:iCs/>
          <w:sz w:val="20"/>
          <w:szCs w:val="20"/>
          <w:shd w:val="clear" w:color="auto" w:fill="FFFFFF"/>
        </w:rPr>
        <w:t>Cell Reports Physical Science</w:t>
      </w:r>
      <w:r>
        <w:rPr>
          <w:sz w:val="20"/>
          <w:szCs w:val="20"/>
          <w:shd w:val="clear" w:color="auto" w:fill="FFFFFF"/>
        </w:rPr>
        <w:t>, </w:t>
      </w:r>
      <w:r>
        <w:rPr>
          <w:i/>
          <w:iCs/>
          <w:sz w:val="20"/>
          <w:szCs w:val="20"/>
          <w:shd w:val="clear" w:color="auto" w:fill="FFFFFF"/>
        </w:rPr>
        <w:t>3</w:t>
      </w:r>
      <w:r>
        <w:rPr>
          <w:sz w:val="20"/>
          <w:szCs w:val="20"/>
          <w:shd w:val="clear" w:color="auto" w:fill="FFFFFF"/>
        </w:rPr>
        <w:t>(10).</w:t>
      </w:r>
    </w:p>
    <w:p w14:paraId="4D79153B">
      <w:pPr>
        <w:jc w:val="both"/>
        <w:rPr>
          <w:sz w:val="20"/>
          <w:szCs w:val="20"/>
        </w:rPr>
      </w:pPr>
      <w:r>
        <w:rPr>
          <w:sz w:val="20"/>
          <w:szCs w:val="20"/>
          <w:shd w:val="clear" w:color="auto" w:fill="FFFFFF"/>
        </w:rPr>
        <w:t>Park, J. Y., Suresh, T., Yun, H. J., Lee, C. H., Ahn, K. S., &amp; Kim, J. H. (2016). Synthesis and investigation of the donor effect in novel Hemicyanine organic dyes for p-type dye-sensitized solar cells. </w:t>
      </w:r>
      <w:r>
        <w:rPr>
          <w:i/>
          <w:iCs/>
          <w:sz w:val="20"/>
          <w:szCs w:val="20"/>
          <w:shd w:val="clear" w:color="auto" w:fill="FFFFFF"/>
        </w:rPr>
        <w:t>Science of Advanced Materials</w:t>
      </w:r>
      <w:r>
        <w:rPr>
          <w:sz w:val="20"/>
          <w:szCs w:val="20"/>
          <w:shd w:val="clear" w:color="auto" w:fill="FFFFFF"/>
        </w:rPr>
        <w:t>, </w:t>
      </w:r>
      <w:r>
        <w:rPr>
          <w:i/>
          <w:iCs/>
          <w:sz w:val="20"/>
          <w:szCs w:val="20"/>
          <w:shd w:val="clear" w:color="auto" w:fill="FFFFFF"/>
        </w:rPr>
        <w:t>8</w:t>
      </w:r>
      <w:r>
        <w:rPr>
          <w:sz w:val="20"/>
          <w:szCs w:val="20"/>
          <w:shd w:val="clear" w:color="auto" w:fill="FFFFFF"/>
        </w:rPr>
        <w:t>(3), 589-595.</w:t>
      </w:r>
    </w:p>
    <w:p w14:paraId="0C8C47B8">
      <w:pPr>
        <w:jc w:val="both"/>
        <w:rPr>
          <w:sz w:val="20"/>
          <w:szCs w:val="20"/>
        </w:rPr>
      </w:pPr>
    </w:p>
    <w:p w14:paraId="50A29339">
      <w:pPr>
        <w:jc w:val="both"/>
        <w:rPr>
          <w:sz w:val="20"/>
          <w:szCs w:val="20"/>
        </w:rPr>
      </w:pPr>
      <w:r>
        <w:rPr>
          <w:sz w:val="20"/>
          <w:szCs w:val="20"/>
          <w:shd w:val="clear" w:color="auto" w:fill="FFFFFF"/>
        </w:rPr>
        <w:t>Pashaei, B., Shahroosvand, H., Graetzel, M., &amp; Nazeeruddin, M. K. (2016). Influence of ancillary ligands in dye-sensitized solar cells. </w:t>
      </w:r>
      <w:r>
        <w:rPr>
          <w:i/>
          <w:iCs/>
          <w:sz w:val="20"/>
          <w:szCs w:val="20"/>
          <w:shd w:val="clear" w:color="auto" w:fill="FFFFFF"/>
        </w:rPr>
        <w:t>Chemical Reviews</w:t>
      </w:r>
      <w:r>
        <w:rPr>
          <w:sz w:val="20"/>
          <w:szCs w:val="20"/>
          <w:shd w:val="clear" w:color="auto" w:fill="FFFFFF"/>
        </w:rPr>
        <w:t>, </w:t>
      </w:r>
      <w:r>
        <w:rPr>
          <w:i/>
          <w:iCs/>
          <w:sz w:val="20"/>
          <w:szCs w:val="20"/>
          <w:shd w:val="clear" w:color="auto" w:fill="FFFFFF"/>
        </w:rPr>
        <w:t>116</w:t>
      </w:r>
      <w:r>
        <w:rPr>
          <w:sz w:val="20"/>
          <w:szCs w:val="20"/>
          <w:shd w:val="clear" w:color="auto" w:fill="FFFFFF"/>
        </w:rPr>
        <w:t>(16), 9485-9564.</w:t>
      </w:r>
    </w:p>
    <w:p w14:paraId="24DF8985">
      <w:pPr>
        <w:jc w:val="both"/>
        <w:rPr>
          <w:sz w:val="20"/>
          <w:szCs w:val="20"/>
        </w:rPr>
      </w:pPr>
    </w:p>
    <w:p w14:paraId="1373120B">
      <w:pPr>
        <w:jc w:val="both"/>
        <w:rPr>
          <w:sz w:val="20"/>
          <w:szCs w:val="20"/>
        </w:rPr>
      </w:pPr>
      <w:r>
        <w:rPr>
          <w:sz w:val="20"/>
          <w:szCs w:val="20"/>
          <w:shd w:val="clear" w:color="auto" w:fill="FFFFFF"/>
        </w:rPr>
        <w:t>Paul, A. (2012). </w:t>
      </w:r>
      <w:r>
        <w:rPr>
          <w:i/>
          <w:iCs/>
          <w:sz w:val="20"/>
          <w:szCs w:val="20"/>
          <w:shd w:val="clear" w:color="auto" w:fill="FFFFFF"/>
        </w:rPr>
        <w:t>Synthesis and characterisation of polypyridyl metal complexes for new fuels</w:t>
      </w:r>
      <w:r>
        <w:rPr>
          <w:sz w:val="20"/>
          <w:szCs w:val="20"/>
          <w:shd w:val="clear" w:color="auto" w:fill="FFFFFF"/>
        </w:rPr>
        <w:t> (Doctoral dissertation, Dublin City University).</w:t>
      </w:r>
    </w:p>
    <w:p w14:paraId="3A5C118A">
      <w:pPr>
        <w:jc w:val="both"/>
        <w:rPr>
          <w:sz w:val="20"/>
          <w:szCs w:val="20"/>
        </w:rPr>
      </w:pPr>
    </w:p>
    <w:p w14:paraId="054DE939">
      <w:pPr>
        <w:jc w:val="both"/>
        <w:rPr>
          <w:sz w:val="20"/>
          <w:szCs w:val="20"/>
        </w:rPr>
      </w:pPr>
      <w:r>
        <w:rPr>
          <w:sz w:val="20"/>
          <w:szCs w:val="20"/>
          <w:shd w:val="clear" w:color="auto" w:fill="FFFFFF"/>
        </w:rPr>
        <w:t>Paul, S., Rahman, M. A., Sharif, S. B., Kim, J. H., Siddiqui, S. E. T., &amp; Hossain, M. A. M. (2022). TiO2 as an Anode of high-performance lithium-ion batteries: A Comprehensive Review towards Practical Application. </w:t>
      </w:r>
      <w:r>
        <w:rPr>
          <w:i/>
          <w:iCs/>
          <w:sz w:val="20"/>
          <w:szCs w:val="20"/>
          <w:shd w:val="clear" w:color="auto" w:fill="FFFFFF"/>
        </w:rPr>
        <w:t>Nanomaterials</w:t>
      </w:r>
      <w:r>
        <w:rPr>
          <w:sz w:val="20"/>
          <w:szCs w:val="20"/>
          <w:shd w:val="clear" w:color="auto" w:fill="FFFFFF"/>
        </w:rPr>
        <w:t>, </w:t>
      </w:r>
      <w:r>
        <w:rPr>
          <w:i/>
          <w:iCs/>
          <w:sz w:val="20"/>
          <w:szCs w:val="20"/>
          <w:shd w:val="clear" w:color="auto" w:fill="FFFFFF"/>
        </w:rPr>
        <w:t>12</w:t>
      </w:r>
      <w:r>
        <w:rPr>
          <w:sz w:val="20"/>
          <w:szCs w:val="20"/>
          <w:shd w:val="clear" w:color="auto" w:fill="FFFFFF"/>
        </w:rPr>
        <w:t>(12), 2034.</w:t>
      </w:r>
    </w:p>
    <w:p w14:paraId="1E10E0AE">
      <w:pPr>
        <w:jc w:val="both"/>
        <w:rPr>
          <w:sz w:val="20"/>
          <w:szCs w:val="20"/>
        </w:rPr>
      </w:pPr>
    </w:p>
    <w:p w14:paraId="7579902B">
      <w:pPr>
        <w:jc w:val="both"/>
        <w:rPr>
          <w:sz w:val="20"/>
          <w:szCs w:val="20"/>
        </w:rPr>
      </w:pPr>
      <w:r>
        <w:rPr>
          <w:sz w:val="20"/>
          <w:szCs w:val="20"/>
          <w:shd w:val="clear" w:color="auto" w:fill="FFFFFF"/>
        </w:rPr>
        <w:t>Qin, Y., &amp; Peng, Q. (2012). Ruthenium sensitizers and their applications in dye-sensitized solar cells. </w:t>
      </w:r>
      <w:r>
        <w:rPr>
          <w:i/>
          <w:iCs/>
          <w:sz w:val="20"/>
          <w:szCs w:val="20"/>
          <w:shd w:val="clear" w:color="auto" w:fill="FFFFFF"/>
        </w:rPr>
        <w:t>International Journal of Photoenergy</w:t>
      </w:r>
      <w:r>
        <w:rPr>
          <w:sz w:val="20"/>
          <w:szCs w:val="20"/>
          <w:shd w:val="clear" w:color="auto" w:fill="FFFFFF"/>
        </w:rPr>
        <w:t>, </w:t>
      </w:r>
      <w:r>
        <w:rPr>
          <w:i/>
          <w:iCs/>
          <w:sz w:val="20"/>
          <w:szCs w:val="20"/>
          <w:shd w:val="clear" w:color="auto" w:fill="FFFFFF"/>
        </w:rPr>
        <w:t>2012</w:t>
      </w:r>
      <w:r>
        <w:rPr>
          <w:sz w:val="20"/>
          <w:szCs w:val="20"/>
          <w:shd w:val="clear" w:color="auto" w:fill="FFFFFF"/>
        </w:rPr>
        <w:t>.</w:t>
      </w:r>
    </w:p>
    <w:p w14:paraId="3C0A3856">
      <w:pPr>
        <w:jc w:val="both"/>
        <w:rPr>
          <w:sz w:val="20"/>
          <w:szCs w:val="20"/>
        </w:rPr>
      </w:pPr>
    </w:p>
    <w:p w14:paraId="4BDF72BB">
      <w:pPr>
        <w:jc w:val="both"/>
        <w:rPr>
          <w:sz w:val="20"/>
          <w:szCs w:val="20"/>
        </w:rPr>
      </w:pPr>
      <w:r>
        <w:rPr>
          <w:sz w:val="20"/>
          <w:szCs w:val="20"/>
          <w:shd w:val="clear" w:color="auto" w:fill="FFFFFF"/>
        </w:rPr>
        <w:t>Quintana, M., Edvinsson, T., Hagfeldt, A., &amp; Boschloo, G. (2007). Comparison of dye-sensitized ZnO and TiO2 solar cells: studies of charge transport and carrier lifetime. </w:t>
      </w:r>
      <w:r>
        <w:rPr>
          <w:i/>
          <w:iCs/>
          <w:sz w:val="20"/>
          <w:szCs w:val="20"/>
          <w:shd w:val="clear" w:color="auto" w:fill="FFFFFF"/>
        </w:rPr>
        <w:t>The Journal of Physical Chemistry C</w:t>
      </w:r>
      <w:r>
        <w:rPr>
          <w:sz w:val="20"/>
          <w:szCs w:val="20"/>
          <w:shd w:val="clear" w:color="auto" w:fill="FFFFFF"/>
        </w:rPr>
        <w:t>, </w:t>
      </w:r>
      <w:r>
        <w:rPr>
          <w:i/>
          <w:iCs/>
          <w:sz w:val="20"/>
          <w:szCs w:val="20"/>
          <w:shd w:val="clear" w:color="auto" w:fill="FFFFFF"/>
        </w:rPr>
        <w:t>111</w:t>
      </w:r>
      <w:r>
        <w:rPr>
          <w:sz w:val="20"/>
          <w:szCs w:val="20"/>
          <w:shd w:val="clear" w:color="auto" w:fill="FFFFFF"/>
        </w:rPr>
        <w:t>(2), 1035-1041.</w:t>
      </w:r>
    </w:p>
    <w:p w14:paraId="21FFDF5F">
      <w:pPr>
        <w:jc w:val="both"/>
        <w:rPr>
          <w:sz w:val="20"/>
          <w:szCs w:val="20"/>
        </w:rPr>
      </w:pPr>
    </w:p>
    <w:p w14:paraId="21C53BA6">
      <w:pPr>
        <w:jc w:val="both"/>
        <w:rPr>
          <w:rStyle w:val="25"/>
          <w:color w:val="auto"/>
          <w:sz w:val="20"/>
          <w:szCs w:val="20"/>
          <w:u w:val="none"/>
        </w:rPr>
      </w:pPr>
      <w:r>
        <w:rPr>
          <w:sz w:val="20"/>
          <w:szCs w:val="20"/>
        </w:rPr>
        <w:t xml:space="preserve">Raber, M. M., Brady, M. D., Ludovic Troian-Gautier, Dickenson, J. C., Marquard, S. L., Hyde, J. T., … Harrison, D. P. (2018). Fundamental Factors Impacting the Stability of Phosphonate-Derivatized Ruthenium Polypyridyl Sensitizers Adsorbed on Metal Oxide Surfaces. ACS Applied Materials &amp; Interfaces, 10(26), 22821–22833. </w:t>
      </w:r>
      <w:r>
        <w:fldChar w:fldCharType="begin"/>
      </w:r>
      <w:r>
        <w:instrText xml:space="preserve"> HYPERLINK "https://doi.org/10.1021/acsami.8b04587" </w:instrText>
      </w:r>
      <w:r>
        <w:fldChar w:fldCharType="separate"/>
      </w:r>
      <w:r>
        <w:rPr>
          <w:rStyle w:val="25"/>
          <w:rFonts w:eastAsiaTheme="majorEastAsia"/>
          <w:color w:val="auto"/>
          <w:sz w:val="20"/>
          <w:szCs w:val="20"/>
        </w:rPr>
        <w:t>https://doi.org/10.1021/acsami.8b04587</w:t>
      </w:r>
      <w:r>
        <w:rPr>
          <w:rStyle w:val="25"/>
          <w:rFonts w:eastAsiaTheme="majorEastAsia"/>
          <w:color w:val="auto"/>
          <w:sz w:val="20"/>
          <w:szCs w:val="20"/>
        </w:rPr>
        <w:fldChar w:fldCharType="end"/>
      </w:r>
      <w:r>
        <w:rPr>
          <w:rStyle w:val="25"/>
          <w:rFonts w:eastAsiaTheme="majorEastAsia"/>
          <w:color w:val="auto"/>
          <w:sz w:val="20"/>
          <w:szCs w:val="20"/>
        </w:rPr>
        <w:t>.</w:t>
      </w:r>
    </w:p>
    <w:p w14:paraId="33522A35">
      <w:pPr>
        <w:jc w:val="both"/>
        <w:rPr>
          <w:rStyle w:val="25"/>
          <w:color w:val="auto"/>
          <w:sz w:val="20"/>
          <w:szCs w:val="20"/>
          <w:u w:val="none"/>
        </w:rPr>
      </w:pPr>
    </w:p>
    <w:p w14:paraId="754CFCAA">
      <w:pPr>
        <w:jc w:val="both"/>
        <w:rPr>
          <w:sz w:val="20"/>
          <w:szCs w:val="20"/>
        </w:rPr>
      </w:pPr>
      <w:r>
        <w:rPr>
          <w:sz w:val="20"/>
          <w:szCs w:val="20"/>
          <w:shd w:val="clear" w:color="auto" w:fill="FFFFFF"/>
        </w:rPr>
        <w:t>Rahman, A., Farrok, O., &amp; Haque, M. M. (2022). Environmental impact of renewable energy source based electrical power plants: Solar, wind, hydroelectric, biomass, geothermal, tidal, ocean, and osmotic. </w:t>
      </w:r>
      <w:r>
        <w:rPr>
          <w:i/>
          <w:iCs/>
          <w:sz w:val="20"/>
          <w:szCs w:val="20"/>
          <w:shd w:val="clear" w:color="auto" w:fill="FFFFFF"/>
        </w:rPr>
        <w:t>Renewable and Sustainable Energy Reviews</w:t>
      </w:r>
      <w:r>
        <w:rPr>
          <w:sz w:val="20"/>
          <w:szCs w:val="20"/>
          <w:shd w:val="clear" w:color="auto" w:fill="FFFFFF"/>
        </w:rPr>
        <w:t>, </w:t>
      </w:r>
      <w:r>
        <w:rPr>
          <w:i/>
          <w:iCs/>
          <w:sz w:val="20"/>
          <w:szCs w:val="20"/>
          <w:shd w:val="clear" w:color="auto" w:fill="FFFFFF"/>
        </w:rPr>
        <w:t>161</w:t>
      </w:r>
      <w:r>
        <w:rPr>
          <w:sz w:val="20"/>
          <w:szCs w:val="20"/>
          <w:shd w:val="clear" w:color="auto" w:fill="FFFFFF"/>
        </w:rPr>
        <w:t>, 112279.</w:t>
      </w:r>
    </w:p>
    <w:p w14:paraId="1EC840E9">
      <w:pPr>
        <w:jc w:val="both"/>
        <w:rPr>
          <w:sz w:val="20"/>
          <w:szCs w:val="20"/>
        </w:rPr>
      </w:pPr>
    </w:p>
    <w:p w14:paraId="7288EE95">
      <w:pPr>
        <w:jc w:val="both"/>
        <w:rPr>
          <w:sz w:val="20"/>
          <w:szCs w:val="20"/>
        </w:rPr>
      </w:pPr>
      <w:r>
        <w:rPr>
          <w:sz w:val="20"/>
          <w:szCs w:val="20"/>
          <w:shd w:val="clear" w:color="auto" w:fill="FFFFFF"/>
        </w:rPr>
        <w:t>Rahman, S., Haleem, A., Siddiq, M., Hussain, M. K., Qamar, S., Hameed, S., &amp; Waris, M. (2023). Research on dye sensitized solar cells: recent advancement toward the various constituents of dye sensitized solar cells for efficiency enhancement and future prospects. </w:t>
      </w:r>
      <w:r>
        <w:rPr>
          <w:i/>
          <w:iCs/>
          <w:sz w:val="20"/>
          <w:szCs w:val="20"/>
          <w:shd w:val="clear" w:color="auto" w:fill="FFFFFF"/>
        </w:rPr>
        <w:t>RSC advances</w:t>
      </w:r>
      <w:r>
        <w:rPr>
          <w:sz w:val="20"/>
          <w:szCs w:val="20"/>
          <w:shd w:val="clear" w:color="auto" w:fill="FFFFFF"/>
        </w:rPr>
        <w:t>, </w:t>
      </w:r>
      <w:r>
        <w:rPr>
          <w:i/>
          <w:iCs/>
          <w:sz w:val="20"/>
          <w:szCs w:val="20"/>
          <w:shd w:val="clear" w:color="auto" w:fill="FFFFFF"/>
        </w:rPr>
        <w:t>13</w:t>
      </w:r>
      <w:r>
        <w:rPr>
          <w:sz w:val="20"/>
          <w:szCs w:val="20"/>
          <w:shd w:val="clear" w:color="auto" w:fill="FFFFFF"/>
        </w:rPr>
        <w:t xml:space="preserve">(28), 19508-19529. </w:t>
      </w:r>
    </w:p>
    <w:p w14:paraId="48DA1C14">
      <w:pPr>
        <w:jc w:val="both"/>
        <w:rPr>
          <w:sz w:val="20"/>
          <w:szCs w:val="20"/>
        </w:rPr>
      </w:pPr>
    </w:p>
    <w:p w14:paraId="57F85563">
      <w:pPr>
        <w:jc w:val="both"/>
        <w:rPr>
          <w:sz w:val="20"/>
          <w:szCs w:val="20"/>
        </w:rPr>
      </w:pPr>
      <w:r>
        <mc:AlternateContent>
          <mc:Choice Requires="wps">
            <w:drawing>
              <wp:anchor distT="0" distB="0" distL="114300" distR="114300" simplePos="0" relativeHeight="251694080" behindDoc="0" locked="0" layoutInCell="1" allowOverlap="1">
                <wp:simplePos x="0" y="0"/>
                <wp:positionH relativeFrom="column">
                  <wp:posOffset>2838450</wp:posOffset>
                </wp:positionH>
                <wp:positionV relativeFrom="paragraph">
                  <wp:posOffset>697865</wp:posOffset>
                </wp:positionV>
                <wp:extent cx="495300" cy="316230"/>
                <wp:effectExtent l="0" t="0" r="0" b="0"/>
                <wp:wrapNone/>
                <wp:docPr id="169579706"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3293FAA9">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5pt;margin-top:54.95pt;height:24.9pt;width:39pt;z-index:251694080;mso-width-relative:page;mso-height-relative:page;" filled="f" stroked="f" coordsize="21600,21600" o:gfxdata="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p285S2wAAAAsBAAAPAAAAAAAAAAEAIAAAACIAAABkcnMvZG93bnJldi54&#10;bWxQSwECFAAUAAAACACHTuJAQAQWTDACAABsBAAADgAAAAAAAAABACAAAAAqAQAAZHJzL2Uyb0Rv&#10;Yy54bWxQSwUGAAAAAAYABgBZAQAAzAUAAAAA&#10;">
                <v:fill on="f" focussize="0,0"/>
                <v:stroke on="f" weight="0.5pt"/>
                <v:imagedata o:title=""/>
                <o:lock v:ext="edit" aspectratio="f"/>
                <v:textbox>
                  <w:txbxContent>
                    <w:p w14:paraId="3293FAA9">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293</w:t>
                      </w:r>
                    </w:p>
                  </w:txbxContent>
                </v:textbox>
              </v:shape>
            </w:pict>
          </mc:Fallback>
        </mc:AlternateContent>
      </w:r>
      <w:r>
        <w:rPr>
          <w:sz w:val="20"/>
          <w:szCs w:val="20"/>
          <w:shd w:val="clear" w:color="auto" w:fill="FFFFFF"/>
        </w:rPr>
        <w:t>Shabir, G., Arooj, S., Javed, A. H., Saeed, A., Shahzad, N., Iqbal, N., &amp; Jabeen, E. (2022). The development of highly fluorescent hemicyanine and dicyanoisophorone dyes for applications in dye-sensitized solar cells. </w:t>
      </w:r>
      <w:r>
        <w:rPr>
          <w:i/>
          <w:iCs/>
          <w:sz w:val="20"/>
          <w:szCs w:val="20"/>
          <w:shd w:val="clear" w:color="auto" w:fill="FFFFFF"/>
        </w:rPr>
        <w:t>Journal of Fluorescence</w:t>
      </w:r>
      <w:r>
        <w:rPr>
          <w:sz w:val="20"/>
          <w:szCs w:val="20"/>
          <w:shd w:val="clear" w:color="auto" w:fill="FFFFFF"/>
        </w:rPr>
        <w:t>, </w:t>
      </w:r>
      <w:r>
        <w:rPr>
          <w:i/>
          <w:iCs/>
          <w:sz w:val="20"/>
          <w:szCs w:val="20"/>
          <w:shd w:val="clear" w:color="auto" w:fill="FFFFFF"/>
        </w:rPr>
        <w:t>32</w:t>
      </w:r>
      <w:r>
        <w:rPr>
          <w:sz w:val="20"/>
          <w:szCs w:val="20"/>
          <w:shd w:val="clear" w:color="auto" w:fill="FFFFFF"/>
        </w:rPr>
        <w:t>(2), 799-815.</w:t>
      </w:r>
    </w:p>
    <w:p w14:paraId="65125372">
      <w:pPr>
        <w:jc w:val="both"/>
        <w:rPr>
          <w:sz w:val="20"/>
          <w:szCs w:val="20"/>
        </w:rPr>
      </w:pPr>
    </w:p>
    <w:p w14:paraId="3778CB0A">
      <w:pPr>
        <w:jc w:val="both"/>
        <w:rPr>
          <w:rStyle w:val="25"/>
          <w:color w:val="auto"/>
          <w:sz w:val="20"/>
          <w:szCs w:val="20"/>
          <w:u w:val="none"/>
        </w:rPr>
      </w:pPr>
      <w:r>
        <w:rPr>
          <w:sz w:val="20"/>
          <w:szCs w:val="20"/>
        </w:rPr>
        <w:t xml:space="preserve">Shi, J., Wang, L., Liang, Y., Peng, S., Cheng, F., &amp; Chen, J. (2010). All-Solid-State Dye-Sensitized Solar Cells with Alkyloxy-Imidazolium Iodide Ionic Polymer/SiO2 Nanocomposite Electrolyte and Triphenylamine-Based Organic Dyes. The Journal of Physical Chemistry C, 114(14), 6814–6821. </w:t>
      </w:r>
      <w:r>
        <w:fldChar w:fldCharType="begin"/>
      </w:r>
      <w:r>
        <w:instrText xml:space="preserve"> HYPERLINK "https://doi.org/10.1021/jp100029r" </w:instrText>
      </w:r>
      <w:r>
        <w:fldChar w:fldCharType="separate"/>
      </w:r>
      <w:r>
        <w:rPr>
          <w:rStyle w:val="25"/>
          <w:rFonts w:eastAsiaTheme="majorEastAsia"/>
          <w:color w:val="auto"/>
          <w:sz w:val="20"/>
          <w:szCs w:val="20"/>
        </w:rPr>
        <w:t>https://doi.org/10.1021/jp100029r</w:t>
      </w:r>
      <w:r>
        <w:rPr>
          <w:rStyle w:val="25"/>
          <w:rFonts w:eastAsiaTheme="majorEastAsia"/>
          <w:color w:val="auto"/>
          <w:sz w:val="20"/>
          <w:szCs w:val="20"/>
        </w:rPr>
        <w:fldChar w:fldCharType="end"/>
      </w:r>
    </w:p>
    <w:p w14:paraId="3DCF3355">
      <w:pPr>
        <w:jc w:val="both"/>
        <w:rPr>
          <w:rStyle w:val="25"/>
          <w:color w:val="auto"/>
          <w:sz w:val="20"/>
          <w:szCs w:val="20"/>
          <w:u w:val="none"/>
        </w:rPr>
      </w:pPr>
    </w:p>
    <w:p w14:paraId="57B0B233">
      <w:pPr>
        <w:jc w:val="both"/>
        <w:rPr>
          <w:sz w:val="20"/>
          <w:szCs w:val="20"/>
        </w:rPr>
      </w:pPr>
      <w:r>
        <w:rPr>
          <w:sz w:val="20"/>
          <w:szCs w:val="20"/>
          <w:shd w:val="clear" w:color="auto" w:fill="FFFFFF"/>
        </w:rPr>
        <w:t>Slimi, A., Hachi, M., Fitri, A., Benjelloun, A. T., Elkhattabi, S., Benzakour, M., ... &amp; Bouachrine, M. (2020). Effects of electron acceptor groups on triphenylamine-based dyes for dye-sensitized solar cells: Theoretical investigation. </w:t>
      </w:r>
      <w:r>
        <w:rPr>
          <w:i/>
          <w:iCs/>
          <w:sz w:val="20"/>
          <w:szCs w:val="20"/>
          <w:shd w:val="clear" w:color="auto" w:fill="FFFFFF"/>
        </w:rPr>
        <w:t>Journal of Photochemistry and Photobiology A: Chemistry</w:t>
      </w:r>
      <w:r>
        <w:rPr>
          <w:sz w:val="20"/>
          <w:szCs w:val="20"/>
          <w:shd w:val="clear" w:color="auto" w:fill="FFFFFF"/>
        </w:rPr>
        <w:t>, </w:t>
      </w:r>
      <w:r>
        <w:rPr>
          <w:i/>
          <w:iCs/>
          <w:sz w:val="20"/>
          <w:szCs w:val="20"/>
          <w:shd w:val="clear" w:color="auto" w:fill="FFFFFF"/>
        </w:rPr>
        <w:t>398</w:t>
      </w:r>
      <w:r>
        <w:rPr>
          <w:sz w:val="20"/>
          <w:szCs w:val="20"/>
          <w:shd w:val="clear" w:color="auto" w:fill="FFFFFF"/>
        </w:rPr>
        <w:t>, 112572.</w:t>
      </w:r>
    </w:p>
    <w:p w14:paraId="1A744CA5">
      <w:pPr>
        <w:jc w:val="both"/>
        <w:rPr>
          <w:sz w:val="20"/>
          <w:szCs w:val="20"/>
        </w:rPr>
      </w:pPr>
    </w:p>
    <w:p w14:paraId="3DD8E9CF">
      <w:pPr>
        <w:jc w:val="both"/>
        <w:rPr>
          <w:sz w:val="20"/>
          <w:szCs w:val="20"/>
        </w:rPr>
      </w:pPr>
      <w:r>
        <w:rPr>
          <w:sz w:val="20"/>
          <w:szCs w:val="20"/>
          <w:shd w:val="clear" w:color="auto" w:fill="FFFFFF"/>
        </w:rPr>
        <w:t>Song, D., Cho, W., Lee, J. H., &amp; Kang, Y. S. (2014). Toward higher energy conversion efficiency for solid polymer electrolyte dye-sensitized solar cells: ionic conductivity and TiO2 pore-filling. </w:t>
      </w:r>
      <w:r>
        <w:rPr>
          <w:i/>
          <w:iCs/>
          <w:sz w:val="20"/>
          <w:szCs w:val="20"/>
          <w:shd w:val="clear" w:color="auto" w:fill="FFFFFF"/>
        </w:rPr>
        <w:t>The journal of physical chemistry letters</w:t>
      </w:r>
      <w:r>
        <w:rPr>
          <w:sz w:val="20"/>
          <w:szCs w:val="20"/>
          <w:shd w:val="clear" w:color="auto" w:fill="FFFFFF"/>
        </w:rPr>
        <w:t>, </w:t>
      </w:r>
      <w:r>
        <w:rPr>
          <w:i/>
          <w:iCs/>
          <w:sz w:val="20"/>
          <w:szCs w:val="20"/>
          <w:shd w:val="clear" w:color="auto" w:fill="FFFFFF"/>
        </w:rPr>
        <w:t>5</w:t>
      </w:r>
      <w:r>
        <w:rPr>
          <w:sz w:val="20"/>
          <w:szCs w:val="20"/>
          <w:shd w:val="clear" w:color="auto" w:fill="FFFFFF"/>
        </w:rPr>
        <w:t>(7), 1249-1258.</w:t>
      </w:r>
    </w:p>
    <w:p w14:paraId="04CE8371">
      <w:pPr>
        <w:jc w:val="both"/>
        <w:rPr>
          <w:sz w:val="20"/>
          <w:szCs w:val="20"/>
        </w:rPr>
      </w:pPr>
    </w:p>
    <w:p w14:paraId="2EAA1BE3">
      <w:pPr>
        <w:jc w:val="both"/>
        <w:rPr>
          <w:sz w:val="20"/>
          <w:szCs w:val="20"/>
        </w:rPr>
      </w:pPr>
      <w:r>
        <w:rPr>
          <w:sz w:val="20"/>
          <w:szCs w:val="20"/>
          <w:shd w:val="clear" w:color="auto" w:fill="FFFFFF"/>
        </w:rPr>
        <w:t>Srikant, S. S., &amp; Chaturvedi, P. K. (2020). </w:t>
      </w:r>
      <w:r>
        <w:rPr>
          <w:i/>
          <w:iCs/>
          <w:sz w:val="20"/>
          <w:szCs w:val="20"/>
          <w:shd w:val="clear" w:color="auto" w:fill="FFFFFF"/>
        </w:rPr>
        <w:t>Basic Electronics Engineering</w:t>
      </w:r>
      <w:r>
        <w:rPr>
          <w:sz w:val="20"/>
          <w:szCs w:val="20"/>
          <w:shd w:val="clear" w:color="auto" w:fill="FFFFFF"/>
        </w:rPr>
        <w:t>. Singapore: Springer Singapore.</w:t>
      </w:r>
    </w:p>
    <w:p w14:paraId="4F0CF572">
      <w:pPr>
        <w:jc w:val="both"/>
        <w:rPr>
          <w:sz w:val="20"/>
          <w:szCs w:val="20"/>
        </w:rPr>
      </w:pPr>
    </w:p>
    <w:p w14:paraId="041C5A40">
      <w:pPr>
        <w:jc w:val="both"/>
        <w:rPr>
          <w:sz w:val="20"/>
          <w:szCs w:val="20"/>
        </w:rPr>
      </w:pPr>
      <w:r>
        <w:rPr>
          <w:sz w:val="20"/>
          <w:szCs w:val="20"/>
          <w:shd w:val="clear" w:color="auto" w:fill="FFFFFF"/>
          <w:lang w:val="fr-FR"/>
        </w:rPr>
        <w:t xml:space="preserve">Stern, C., Lemeune, A. B., Gorbunova, Y., Tsivadze, A., &amp; Guilard, R. (2014). </w:t>
      </w:r>
      <w:r>
        <w:rPr>
          <w:sz w:val="20"/>
          <w:szCs w:val="20"/>
          <w:shd w:val="clear" w:color="auto" w:fill="FFFFFF"/>
        </w:rPr>
        <w:t>Effect of the anchoring group in porphyrin sensitizers: phosphonate versus carboxylate linkages. </w:t>
      </w:r>
      <w:r>
        <w:rPr>
          <w:i/>
          <w:iCs/>
          <w:sz w:val="20"/>
          <w:szCs w:val="20"/>
          <w:shd w:val="clear" w:color="auto" w:fill="FFFFFF"/>
        </w:rPr>
        <w:t>Turkish Journal of Chemistry</w:t>
      </w:r>
      <w:r>
        <w:rPr>
          <w:sz w:val="20"/>
          <w:szCs w:val="20"/>
          <w:shd w:val="clear" w:color="auto" w:fill="FFFFFF"/>
        </w:rPr>
        <w:t>, </w:t>
      </w:r>
      <w:r>
        <w:rPr>
          <w:i/>
          <w:iCs/>
          <w:sz w:val="20"/>
          <w:szCs w:val="20"/>
          <w:shd w:val="clear" w:color="auto" w:fill="FFFFFF"/>
        </w:rPr>
        <w:t>38</w:t>
      </w:r>
      <w:r>
        <w:rPr>
          <w:sz w:val="20"/>
          <w:szCs w:val="20"/>
          <w:shd w:val="clear" w:color="auto" w:fill="FFFFFF"/>
        </w:rPr>
        <w:t>(6), 980-993.</w:t>
      </w:r>
    </w:p>
    <w:p w14:paraId="0D519B82">
      <w:pPr>
        <w:jc w:val="both"/>
        <w:rPr>
          <w:sz w:val="20"/>
          <w:szCs w:val="20"/>
        </w:rPr>
      </w:pPr>
    </w:p>
    <w:p w14:paraId="172A9C35">
      <w:pPr>
        <w:jc w:val="both"/>
        <w:rPr>
          <w:sz w:val="20"/>
          <w:szCs w:val="20"/>
        </w:rPr>
      </w:pPr>
      <w:r>
        <w:rPr>
          <w:sz w:val="20"/>
          <w:szCs w:val="20"/>
          <w:shd w:val="clear" w:color="auto" w:fill="FFFFFF"/>
        </w:rPr>
        <w:t>Suri, P., &amp; Mehra, R. M. (2007). Effect of electrolytes on the photovoltaic performance of a hybrid dye sensitized ZnO solar cell. </w:t>
      </w:r>
      <w:r>
        <w:rPr>
          <w:i/>
          <w:iCs/>
          <w:sz w:val="20"/>
          <w:szCs w:val="20"/>
          <w:shd w:val="clear" w:color="auto" w:fill="FFFFFF"/>
        </w:rPr>
        <w:t>Solar energy materials and solar cells</w:t>
      </w:r>
      <w:r>
        <w:rPr>
          <w:sz w:val="20"/>
          <w:szCs w:val="20"/>
          <w:shd w:val="clear" w:color="auto" w:fill="FFFFFF"/>
        </w:rPr>
        <w:t>, </w:t>
      </w:r>
      <w:r>
        <w:rPr>
          <w:i/>
          <w:iCs/>
          <w:sz w:val="20"/>
          <w:szCs w:val="20"/>
          <w:shd w:val="clear" w:color="auto" w:fill="FFFFFF"/>
        </w:rPr>
        <w:t>91</w:t>
      </w:r>
      <w:r>
        <w:rPr>
          <w:sz w:val="20"/>
          <w:szCs w:val="20"/>
          <w:shd w:val="clear" w:color="auto" w:fill="FFFFFF"/>
        </w:rPr>
        <w:t>(6), 518-524.</w:t>
      </w:r>
    </w:p>
    <w:p w14:paraId="0D7B3245">
      <w:pPr>
        <w:jc w:val="both"/>
        <w:rPr>
          <w:sz w:val="20"/>
          <w:szCs w:val="20"/>
        </w:rPr>
      </w:pPr>
    </w:p>
    <w:p w14:paraId="12034441">
      <w:pPr>
        <w:jc w:val="both"/>
        <w:rPr>
          <w:sz w:val="20"/>
          <w:szCs w:val="20"/>
        </w:rPr>
      </w:pPr>
      <w:r>
        <w:rPr>
          <w:sz w:val="20"/>
          <w:szCs w:val="20"/>
          <w:shd w:val="clear" w:color="auto" w:fill="FFFFFF"/>
        </w:rPr>
        <w:t>Swords, W. B., Li, G., &amp; Meyer, G. J. (2015). Iodide Ion Pairing with Highly Charged Ruthenium Polypyridyl Cations in CH3CN. </w:t>
      </w:r>
      <w:r>
        <w:rPr>
          <w:i/>
          <w:iCs/>
          <w:sz w:val="20"/>
          <w:szCs w:val="20"/>
          <w:shd w:val="clear" w:color="auto" w:fill="FFFFFF"/>
        </w:rPr>
        <w:t>Inorganic Chemistry</w:t>
      </w:r>
      <w:r>
        <w:rPr>
          <w:sz w:val="20"/>
          <w:szCs w:val="20"/>
          <w:shd w:val="clear" w:color="auto" w:fill="FFFFFF"/>
        </w:rPr>
        <w:t>, </w:t>
      </w:r>
      <w:r>
        <w:rPr>
          <w:i/>
          <w:iCs/>
          <w:sz w:val="20"/>
          <w:szCs w:val="20"/>
          <w:shd w:val="clear" w:color="auto" w:fill="FFFFFF"/>
        </w:rPr>
        <w:t>54</w:t>
      </w:r>
      <w:r>
        <w:rPr>
          <w:sz w:val="20"/>
          <w:szCs w:val="20"/>
          <w:shd w:val="clear" w:color="auto" w:fill="FFFFFF"/>
        </w:rPr>
        <w:t>(9), 4512-4519.</w:t>
      </w:r>
    </w:p>
    <w:p w14:paraId="10D8B3FF">
      <w:pPr>
        <w:jc w:val="both"/>
        <w:rPr>
          <w:sz w:val="20"/>
          <w:szCs w:val="20"/>
        </w:rPr>
      </w:pPr>
    </w:p>
    <w:p w14:paraId="1B83926E">
      <w:pPr>
        <w:jc w:val="both"/>
        <w:rPr>
          <w:sz w:val="20"/>
          <w:szCs w:val="20"/>
        </w:rPr>
      </w:pPr>
      <w:r>
        <w:rPr>
          <w:sz w:val="20"/>
          <w:szCs w:val="20"/>
          <w:shd w:val="clear" w:color="auto" w:fill="FFFFFF"/>
        </w:rPr>
        <w:t>Terna, A. D., Elemike, E. E., Mbonu, J. I., Osafile, O. E., &amp; Ezeani, R. O. (2021). The future of semiconductors nanoparticles: Synthesis, properties and applications. </w:t>
      </w:r>
      <w:r>
        <w:rPr>
          <w:i/>
          <w:iCs/>
          <w:sz w:val="20"/>
          <w:szCs w:val="20"/>
          <w:shd w:val="clear" w:color="auto" w:fill="FFFFFF"/>
        </w:rPr>
        <w:t>Materials Science and Engineering: B</w:t>
      </w:r>
      <w:r>
        <w:rPr>
          <w:sz w:val="20"/>
          <w:szCs w:val="20"/>
          <w:shd w:val="clear" w:color="auto" w:fill="FFFFFF"/>
        </w:rPr>
        <w:t>, </w:t>
      </w:r>
      <w:r>
        <w:rPr>
          <w:i/>
          <w:iCs/>
          <w:sz w:val="20"/>
          <w:szCs w:val="20"/>
          <w:shd w:val="clear" w:color="auto" w:fill="FFFFFF"/>
        </w:rPr>
        <w:t>272</w:t>
      </w:r>
      <w:r>
        <w:rPr>
          <w:sz w:val="20"/>
          <w:szCs w:val="20"/>
          <w:shd w:val="clear" w:color="auto" w:fill="FFFFFF"/>
        </w:rPr>
        <w:t>, 115363.</w:t>
      </w:r>
    </w:p>
    <w:p w14:paraId="76C058B9">
      <w:pPr>
        <w:jc w:val="both"/>
        <w:rPr>
          <w:sz w:val="20"/>
          <w:szCs w:val="20"/>
        </w:rPr>
      </w:pPr>
    </w:p>
    <w:p w14:paraId="03377CB7">
      <w:pPr>
        <w:jc w:val="both"/>
        <w:rPr>
          <w:sz w:val="20"/>
          <w:szCs w:val="20"/>
        </w:rPr>
      </w:pPr>
      <w:r>
        <w:rPr>
          <w:sz w:val="20"/>
          <w:szCs w:val="20"/>
          <w:shd w:val="clear" w:color="auto" w:fill="FFFFFF"/>
          <w:lang w:val="pt-PT"/>
        </w:rPr>
        <w:t xml:space="preserve">Tomar, N., Agrawal, A., Dhaka, V. S., &amp; Surolia, P. K. (2020). </w:t>
      </w:r>
      <w:r>
        <w:rPr>
          <w:sz w:val="20"/>
          <w:szCs w:val="20"/>
          <w:shd w:val="clear" w:color="auto" w:fill="FFFFFF"/>
        </w:rPr>
        <w:t>Ruthenium complexes based dye sensitized solar cells: Fundamentals and research trends. </w:t>
      </w:r>
      <w:r>
        <w:rPr>
          <w:i/>
          <w:iCs/>
          <w:sz w:val="20"/>
          <w:szCs w:val="20"/>
          <w:shd w:val="clear" w:color="auto" w:fill="FFFFFF"/>
        </w:rPr>
        <w:t>Solar Energy</w:t>
      </w:r>
      <w:r>
        <w:rPr>
          <w:sz w:val="20"/>
          <w:szCs w:val="20"/>
          <w:shd w:val="clear" w:color="auto" w:fill="FFFFFF"/>
        </w:rPr>
        <w:t>, </w:t>
      </w:r>
      <w:r>
        <w:rPr>
          <w:i/>
          <w:iCs/>
          <w:sz w:val="20"/>
          <w:szCs w:val="20"/>
          <w:shd w:val="clear" w:color="auto" w:fill="FFFFFF"/>
        </w:rPr>
        <w:t>207</w:t>
      </w:r>
      <w:r>
        <w:rPr>
          <w:sz w:val="20"/>
          <w:szCs w:val="20"/>
          <w:shd w:val="clear" w:color="auto" w:fill="FFFFFF"/>
        </w:rPr>
        <w:t>, 59-76.</w:t>
      </w:r>
    </w:p>
    <w:p w14:paraId="6C75BEF4">
      <w:pPr>
        <w:jc w:val="both"/>
        <w:rPr>
          <w:sz w:val="20"/>
          <w:szCs w:val="20"/>
        </w:rPr>
      </w:pPr>
    </w:p>
    <w:p w14:paraId="71FA21F4">
      <w:pPr>
        <w:jc w:val="both"/>
        <w:rPr>
          <w:sz w:val="20"/>
          <w:szCs w:val="20"/>
        </w:rPr>
      </w:pPr>
      <w:r>
        <w:rPr>
          <w:sz w:val="20"/>
          <w:szCs w:val="20"/>
          <w:shd w:val="clear" w:color="auto" w:fill="FFFFFF"/>
        </w:rPr>
        <w:t>Tunç, G., Güzel, E., Şişman, İ., Ahsen, V., Cardenas-Jiron, G., &amp; Gürek, A. G. (2019). Effect of new asymmetrical Zn (ii) phthalocyanines on the photovoltaic performance of a dye-sensitized solar cell. </w:t>
      </w:r>
      <w:r>
        <w:rPr>
          <w:i/>
          <w:iCs/>
          <w:sz w:val="20"/>
          <w:szCs w:val="20"/>
          <w:shd w:val="clear" w:color="auto" w:fill="FFFFFF"/>
        </w:rPr>
        <w:t>New Journal of Chemistry</w:t>
      </w:r>
      <w:r>
        <w:rPr>
          <w:sz w:val="20"/>
          <w:szCs w:val="20"/>
          <w:shd w:val="clear" w:color="auto" w:fill="FFFFFF"/>
        </w:rPr>
        <w:t>, </w:t>
      </w:r>
      <w:r>
        <w:rPr>
          <w:i/>
          <w:iCs/>
          <w:sz w:val="20"/>
          <w:szCs w:val="20"/>
          <w:shd w:val="clear" w:color="auto" w:fill="FFFFFF"/>
        </w:rPr>
        <w:t>43</w:t>
      </w:r>
      <w:r>
        <w:rPr>
          <w:sz w:val="20"/>
          <w:szCs w:val="20"/>
          <w:shd w:val="clear" w:color="auto" w:fill="FFFFFF"/>
        </w:rPr>
        <w:t>(36), 14390-14401.</w:t>
      </w:r>
    </w:p>
    <w:p w14:paraId="19F13B9A">
      <w:pPr>
        <w:jc w:val="both"/>
        <w:rPr>
          <w:sz w:val="20"/>
          <w:szCs w:val="20"/>
        </w:rPr>
      </w:pPr>
    </w:p>
    <w:p w14:paraId="231061E9">
      <w:pPr>
        <w:jc w:val="both"/>
        <w:rPr>
          <w:sz w:val="20"/>
          <w:szCs w:val="20"/>
        </w:rPr>
      </w:pPr>
      <w:r>
        <w:rPr>
          <w:sz w:val="20"/>
          <w:szCs w:val="20"/>
          <w:shd w:val="clear" w:color="auto" w:fill="FFFFFF"/>
        </w:rPr>
        <w:t>Tunç, G., Zambrano-Angulo, M., Arslan, B. S., Güzel, E., Nebioğlu, M., Ahsen, V., ... &amp; Gürek, A. G. (2021). Insight into the effects of the anchoring groups on the photovoltaic performance of unsymmetrical phthalocyanine based dye-sensitized solar cells. </w:t>
      </w:r>
      <w:r>
        <w:rPr>
          <w:i/>
          <w:iCs/>
          <w:sz w:val="20"/>
          <w:szCs w:val="20"/>
          <w:shd w:val="clear" w:color="auto" w:fill="FFFFFF"/>
        </w:rPr>
        <w:t>Dalton Transactions</w:t>
      </w:r>
      <w:r>
        <w:rPr>
          <w:sz w:val="20"/>
          <w:szCs w:val="20"/>
          <w:shd w:val="clear" w:color="auto" w:fill="FFFFFF"/>
        </w:rPr>
        <w:t>, </w:t>
      </w:r>
      <w:r>
        <w:rPr>
          <w:i/>
          <w:iCs/>
          <w:sz w:val="20"/>
          <w:szCs w:val="20"/>
          <w:shd w:val="clear" w:color="auto" w:fill="FFFFFF"/>
        </w:rPr>
        <w:t>50</w:t>
      </w:r>
      <w:r>
        <w:rPr>
          <w:sz w:val="20"/>
          <w:szCs w:val="20"/>
          <w:shd w:val="clear" w:color="auto" w:fill="FFFFFF"/>
        </w:rPr>
        <w:t>(8), 2981-2996.</w:t>
      </w:r>
    </w:p>
    <w:p w14:paraId="0D89EC12">
      <w:pPr>
        <w:jc w:val="both"/>
        <w:rPr>
          <w:sz w:val="20"/>
          <w:szCs w:val="20"/>
        </w:rPr>
      </w:pPr>
    </w:p>
    <w:p w14:paraId="4F40EDCE">
      <w:pPr>
        <w:jc w:val="both"/>
        <w:rPr>
          <w:sz w:val="20"/>
          <w:szCs w:val="20"/>
        </w:rPr>
      </w:pPr>
      <w:r>
        <w:rPr>
          <w:sz w:val="20"/>
          <w:szCs w:val="20"/>
          <w:shd w:val="clear" w:color="auto" w:fill="FFFFFF"/>
        </w:rPr>
        <w:t>Venkatesan, S., Chen, Y. Y., Chien, C. Y., Tsai, M. H., Teng, H., &amp; Lee, Y. L. (2021). Quasi-solid-state composite electrolytes with Al2O3 and ZnO nanofillers for dye-sensitized solar cells. </w:t>
      </w:r>
      <w:r>
        <w:rPr>
          <w:i/>
          <w:iCs/>
          <w:sz w:val="20"/>
          <w:szCs w:val="20"/>
          <w:shd w:val="clear" w:color="auto" w:fill="FFFFFF"/>
        </w:rPr>
        <w:t>Electrochimica Acta</w:t>
      </w:r>
      <w:r>
        <w:rPr>
          <w:sz w:val="20"/>
          <w:szCs w:val="20"/>
          <w:shd w:val="clear" w:color="auto" w:fill="FFFFFF"/>
        </w:rPr>
        <w:t>, </w:t>
      </w:r>
      <w:r>
        <w:rPr>
          <w:i/>
          <w:iCs/>
          <w:sz w:val="20"/>
          <w:szCs w:val="20"/>
          <w:shd w:val="clear" w:color="auto" w:fill="FFFFFF"/>
        </w:rPr>
        <w:t>380</w:t>
      </w:r>
      <w:r>
        <w:rPr>
          <w:sz w:val="20"/>
          <w:szCs w:val="20"/>
          <w:shd w:val="clear" w:color="auto" w:fill="FFFFFF"/>
        </w:rPr>
        <w:t>, 137588.</w:t>
      </w:r>
    </w:p>
    <w:p w14:paraId="748ABD29">
      <w:pPr>
        <w:jc w:val="both"/>
        <w:rPr>
          <w:sz w:val="20"/>
          <w:szCs w:val="20"/>
        </w:rPr>
      </w:pPr>
    </w:p>
    <w:p w14:paraId="0D5879E6">
      <w:pPr>
        <w:jc w:val="both"/>
        <w:rPr>
          <w:sz w:val="20"/>
          <w:szCs w:val="20"/>
        </w:rPr>
      </w:pPr>
      <w:r>
        <w:rPr>
          <w:sz w:val="20"/>
          <w:szCs w:val="20"/>
          <w:shd w:val="clear" w:color="auto" w:fill="FFFFFF"/>
        </w:rPr>
        <w:t>Verma, K. D., Banerjee, S., &amp; Kar, K. K. (2020). Characteristics of electrolytes. </w:t>
      </w:r>
      <w:r>
        <w:rPr>
          <w:i/>
          <w:iCs/>
          <w:sz w:val="20"/>
          <w:szCs w:val="20"/>
          <w:shd w:val="clear" w:color="auto" w:fill="FFFFFF"/>
        </w:rPr>
        <w:t>Handbook of Nanocomposite Supercapacitor Materials I: Characteristics</w:t>
      </w:r>
      <w:r>
        <w:rPr>
          <w:sz w:val="20"/>
          <w:szCs w:val="20"/>
          <w:shd w:val="clear" w:color="auto" w:fill="FFFFFF"/>
        </w:rPr>
        <w:t>, 287-314.</w:t>
      </w:r>
    </w:p>
    <w:p w14:paraId="0E7B634A">
      <w:pPr>
        <w:jc w:val="both"/>
        <w:rPr>
          <w:sz w:val="20"/>
          <w:szCs w:val="20"/>
        </w:rPr>
      </w:pPr>
    </w:p>
    <w:p w14:paraId="453316EB">
      <w:pPr>
        <w:jc w:val="both"/>
        <w:rPr>
          <w:sz w:val="20"/>
          <w:szCs w:val="20"/>
        </w:rPr>
      </w:pPr>
      <w:r>
        <w:rPr>
          <w:sz w:val="20"/>
          <w:szCs w:val="20"/>
          <w:shd w:val="clear" w:color="auto" w:fill="FFFFFF"/>
        </w:rPr>
        <w:t>Wang, C. L., Lan, C. M., Hong, S. H., Wang, Y. F., Pan, T. Y., Chang, C. W., ... &amp; Lin, C. Y. (2012). Enveloping porphyrins for efficient dye-sensitized solar cells. </w:t>
      </w:r>
      <w:r>
        <w:rPr>
          <w:i/>
          <w:iCs/>
          <w:sz w:val="20"/>
          <w:szCs w:val="20"/>
          <w:shd w:val="clear" w:color="auto" w:fill="FFFFFF"/>
        </w:rPr>
        <w:t>Energy &amp; Environmental Science</w:t>
      </w:r>
      <w:r>
        <w:rPr>
          <w:sz w:val="20"/>
          <w:szCs w:val="20"/>
          <w:shd w:val="clear" w:color="auto" w:fill="FFFFFF"/>
        </w:rPr>
        <w:t>, </w:t>
      </w:r>
      <w:r>
        <w:rPr>
          <w:i/>
          <w:iCs/>
          <w:sz w:val="20"/>
          <w:szCs w:val="20"/>
          <w:shd w:val="clear" w:color="auto" w:fill="FFFFFF"/>
        </w:rPr>
        <w:t>5</w:t>
      </w:r>
      <w:r>
        <w:rPr>
          <w:sz w:val="20"/>
          <w:szCs w:val="20"/>
          <w:shd w:val="clear" w:color="auto" w:fill="FFFFFF"/>
        </w:rPr>
        <w:t>(5), 6933-6940.</w:t>
      </w:r>
    </w:p>
    <w:p w14:paraId="15F52A93">
      <w:pPr>
        <w:jc w:val="both"/>
        <w:rPr>
          <w:sz w:val="20"/>
          <w:szCs w:val="20"/>
        </w:rPr>
      </w:pPr>
    </w:p>
    <w:p w14:paraId="0FC5B56A">
      <w:pPr>
        <w:jc w:val="both"/>
        <w:rPr>
          <w:sz w:val="20"/>
          <w:szCs w:val="20"/>
        </w:rPr>
      </w:pPr>
      <w:r>
        <w:rPr>
          <w:sz w:val="20"/>
          <w:szCs w:val="20"/>
          <w:shd w:val="clear" w:color="auto" w:fill="FFFFFF"/>
        </w:rPr>
        <w:t>Wang, F., Li, X., Duan, H., Wang, H., Fan, L., Sun, Y., ... &amp; Yang, L. (2022). Toward efficient, moisture-resistant and lead-leakproofness perovskite solar cells: Coordination-driven reconstructing homogeneous amorphous perovskitoid/crystalline perovskite photoabsorber. </w:t>
      </w:r>
      <w:r>
        <w:rPr>
          <w:i/>
          <w:iCs/>
          <w:sz w:val="20"/>
          <w:szCs w:val="20"/>
          <w:shd w:val="clear" w:color="auto" w:fill="FFFFFF"/>
        </w:rPr>
        <w:t>Chemical Engineering Journal</w:t>
      </w:r>
      <w:r>
        <w:rPr>
          <w:sz w:val="20"/>
          <w:szCs w:val="20"/>
          <w:shd w:val="clear" w:color="auto" w:fill="FFFFFF"/>
        </w:rPr>
        <w:t>, </w:t>
      </w:r>
      <w:r>
        <w:rPr>
          <w:i/>
          <w:iCs/>
          <w:sz w:val="20"/>
          <w:szCs w:val="20"/>
          <w:shd w:val="clear" w:color="auto" w:fill="FFFFFF"/>
        </w:rPr>
        <w:t>428</w:t>
      </w:r>
      <w:r>
        <w:rPr>
          <w:sz w:val="20"/>
          <w:szCs w:val="20"/>
          <w:shd w:val="clear" w:color="auto" w:fill="FFFFFF"/>
        </w:rPr>
        <w:t>, 132528.</w:t>
      </w:r>
    </w:p>
    <w:p w14:paraId="17EAA393">
      <w:pPr>
        <w:jc w:val="both"/>
        <w:rPr>
          <w:sz w:val="20"/>
          <w:szCs w:val="20"/>
        </w:rPr>
      </w:pPr>
    </w:p>
    <w:p w14:paraId="137D8215">
      <w:pPr>
        <w:jc w:val="both"/>
        <w:rPr>
          <w:sz w:val="20"/>
          <w:szCs w:val="20"/>
        </w:rPr>
      </w:pPr>
      <w:r>
        <w:rPr>
          <w:sz w:val="20"/>
          <w:szCs w:val="20"/>
          <w:shd w:val="clear" w:color="auto" w:fill="FFFFFF"/>
        </w:rPr>
        <w:t>Wang, M., Grätzel, C., Zakeeruddin, S. M., &amp; Grätzel, M. (2012). Recent developments in redox electrolytes for dye-sensitized solar cells. </w:t>
      </w:r>
      <w:r>
        <w:rPr>
          <w:i/>
          <w:iCs/>
          <w:sz w:val="20"/>
          <w:szCs w:val="20"/>
          <w:shd w:val="clear" w:color="auto" w:fill="FFFFFF"/>
        </w:rPr>
        <w:t>Energy &amp; Environmental Science</w:t>
      </w:r>
      <w:r>
        <w:rPr>
          <w:sz w:val="20"/>
          <w:szCs w:val="20"/>
          <w:shd w:val="clear" w:color="auto" w:fill="FFFFFF"/>
        </w:rPr>
        <w:t>, </w:t>
      </w:r>
      <w:r>
        <w:rPr>
          <w:i/>
          <w:iCs/>
          <w:sz w:val="20"/>
          <w:szCs w:val="20"/>
          <w:shd w:val="clear" w:color="auto" w:fill="FFFFFF"/>
        </w:rPr>
        <w:t>5</w:t>
      </w:r>
      <w:r>
        <w:rPr>
          <w:sz w:val="20"/>
          <w:szCs w:val="20"/>
          <w:shd w:val="clear" w:color="auto" w:fill="FFFFFF"/>
        </w:rPr>
        <w:t>(11), 9394-9405.</w:t>
      </w:r>
    </w:p>
    <w:p w14:paraId="4248198B">
      <w:pPr>
        <w:jc w:val="both"/>
        <w:rPr>
          <w:sz w:val="20"/>
          <w:szCs w:val="20"/>
        </w:rPr>
      </w:pPr>
    </w:p>
    <w:p w14:paraId="7CBF133E">
      <w:pPr>
        <w:jc w:val="both"/>
        <w:rPr>
          <w:sz w:val="20"/>
          <w:szCs w:val="20"/>
        </w:rPr>
      </w:pPr>
      <w:r>
        <w:rPr>
          <w:sz w:val="20"/>
          <w:szCs w:val="20"/>
          <w:shd w:val="clear" w:color="auto" w:fill="FFFFFF"/>
        </w:rPr>
        <w:t>Wang, N., Hu, J., Gao, L., &amp; Ma, T. (2020). Current progress in solid-state electrolytes for dye-sensitized solar cells: A mini-review. </w:t>
      </w:r>
      <w:r>
        <w:rPr>
          <w:i/>
          <w:iCs/>
          <w:sz w:val="20"/>
          <w:szCs w:val="20"/>
          <w:shd w:val="clear" w:color="auto" w:fill="FFFFFF"/>
        </w:rPr>
        <w:t>Journal of Electronic Materials</w:t>
      </w:r>
      <w:r>
        <w:rPr>
          <w:sz w:val="20"/>
          <w:szCs w:val="20"/>
          <w:shd w:val="clear" w:color="auto" w:fill="FFFFFF"/>
        </w:rPr>
        <w:t>, </w:t>
      </w:r>
      <w:r>
        <w:rPr>
          <w:i/>
          <w:iCs/>
          <w:sz w:val="20"/>
          <w:szCs w:val="20"/>
          <w:shd w:val="clear" w:color="auto" w:fill="FFFFFF"/>
        </w:rPr>
        <w:t>49</w:t>
      </w:r>
      <w:r>
        <w:rPr>
          <w:sz w:val="20"/>
          <w:szCs w:val="20"/>
          <w:shd w:val="clear" w:color="auto" w:fill="FFFFFF"/>
        </w:rPr>
        <w:t>, 7085-7097.</w:t>
      </w:r>
    </w:p>
    <w:p w14:paraId="731F094F">
      <w:pPr>
        <w:jc w:val="both"/>
        <w:rPr>
          <w:sz w:val="20"/>
          <w:szCs w:val="20"/>
        </w:rPr>
      </w:pPr>
    </w:p>
    <w:p w14:paraId="51B83ED8">
      <w:pPr>
        <w:jc w:val="both"/>
        <w:rPr>
          <w:sz w:val="20"/>
          <w:szCs w:val="20"/>
        </w:rPr>
      </w:pPr>
      <w:r>
        <w:rPr>
          <w:sz w:val="20"/>
          <w:szCs w:val="20"/>
          <w:shd w:val="clear" w:color="auto" w:fill="FFFFFF"/>
        </w:rPr>
        <w:t>Wang, Z., Hu, Y., Zhang, S., &amp; Sun, Y. (2022). Artificial photosynthesis systems for solar energy conversion and storage: platforms and their realities. </w:t>
      </w:r>
      <w:r>
        <w:rPr>
          <w:i/>
          <w:iCs/>
          <w:sz w:val="20"/>
          <w:szCs w:val="20"/>
          <w:shd w:val="clear" w:color="auto" w:fill="FFFFFF"/>
        </w:rPr>
        <w:t>Chemical Society Reviews</w:t>
      </w:r>
      <w:r>
        <w:rPr>
          <w:sz w:val="20"/>
          <w:szCs w:val="20"/>
          <w:shd w:val="clear" w:color="auto" w:fill="FFFFFF"/>
        </w:rPr>
        <w:t>.</w:t>
      </w:r>
    </w:p>
    <w:p w14:paraId="207E82CF">
      <w:pPr>
        <w:jc w:val="both"/>
        <w:rPr>
          <w:sz w:val="20"/>
          <w:szCs w:val="20"/>
        </w:rPr>
      </w:pPr>
    </w:p>
    <w:p w14:paraId="1D1B89E5">
      <w:pPr>
        <w:jc w:val="both"/>
        <w:rPr>
          <w:sz w:val="20"/>
          <w:szCs w:val="20"/>
        </w:rPr>
      </w:pPr>
      <w:r>
        <w:rPr>
          <w:sz w:val="20"/>
          <w:szCs w:val="20"/>
          <w:shd w:val="clear" w:color="auto" w:fill="FFFFFF"/>
        </w:rPr>
        <w:t>Wei, D., &amp; Amaratunga, G. (2007). Photoelectrochemical cell and its applications in optoelectronics. </w:t>
      </w:r>
      <w:r>
        <w:rPr>
          <w:i/>
          <w:iCs/>
          <w:sz w:val="20"/>
          <w:szCs w:val="20"/>
          <w:shd w:val="clear" w:color="auto" w:fill="FFFFFF"/>
        </w:rPr>
        <w:t>International Journal of Electrochemical Science</w:t>
      </w:r>
      <w:r>
        <w:rPr>
          <w:sz w:val="20"/>
          <w:szCs w:val="20"/>
          <w:shd w:val="clear" w:color="auto" w:fill="FFFFFF"/>
        </w:rPr>
        <w:t>, </w:t>
      </w:r>
      <w:r>
        <w:rPr>
          <w:i/>
          <w:iCs/>
          <w:sz w:val="20"/>
          <w:szCs w:val="20"/>
          <w:shd w:val="clear" w:color="auto" w:fill="FFFFFF"/>
        </w:rPr>
        <w:t>2</w:t>
      </w:r>
      <w:r>
        <w:rPr>
          <w:sz w:val="20"/>
          <w:szCs w:val="20"/>
          <w:shd w:val="clear" w:color="auto" w:fill="FFFFFF"/>
        </w:rPr>
        <w:t>(12), 897-912.</w:t>
      </w:r>
    </w:p>
    <w:p w14:paraId="5E79358E">
      <w:pPr>
        <w:jc w:val="both"/>
        <w:rPr>
          <w:sz w:val="20"/>
          <w:szCs w:val="20"/>
        </w:rPr>
      </w:pPr>
    </w:p>
    <w:p w14:paraId="2009F636">
      <w:pPr>
        <w:jc w:val="both"/>
        <w:rPr>
          <w:rStyle w:val="25"/>
          <w:color w:val="auto"/>
          <w:sz w:val="20"/>
          <w:szCs w:val="20"/>
          <w:u w:val="none"/>
        </w:rPr>
      </w:pPr>
      <w:r>
        <mc:AlternateContent>
          <mc:Choice Requires="wps">
            <w:drawing>
              <wp:anchor distT="0" distB="0" distL="114300" distR="114300" simplePos="0" relativeHeight="251695104" behindDoc="0" locked="0" layoutInCell="1" allowOverlap="1">
                <wp:simplePos x="0" y="0"/>
                <wp:positionH relativeFrom="column">
                  <wp:posOffset>2844800</wp:posOffset>
                </wp:positionH>
                <wp:positionV relativeFrom="paragraph">
                  <wp:posOffset>704215</wp:posOffset>
                </wp:positionV>
                <wp:extent cx="495300" cy="316230"/>
                <wp:effectExtent l="0" t="0" r="0" b="0"/>
                <wp:wrapNone/>
                <wp:docPr id="1122114753"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05BAC38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4pt;margin-top:55.45pt;height:24.9pt;width:39pt;z-index:251695104;mso-width-relative:page;mso-height-relative:page;" filled="f" stroked="f" coordsize="21600,21600" o:gfxdata="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yMDjbAAAACwEAAA8AAAAAAAAAAQAgAAAAIgAAAGRycy9kb3ducmV2&#10;LnhtbFBLAQIUABQAAAAIAIdO4kBDMa2gMgIAAG0EAAAOAAAAAAAAAAEAIAAAACoBAABkcnMvZTJv&#10;RG9jLnhtbFBLBQYAAAAABgAGAFkBAADOBQAAAAA=&#10;">
                <v:fill on="f" focussize="0,0"/>
                <v:stroke on="f" weight="0.5pt"/>
                <v:imagedata o:title=""/>
                <o:lock v:ext="edit" aspectratio="f"/>
                <v:textbox>
                  <w:txbxContent>
                    <w:p w14:paraId="05BAC380">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294</w:t>
                      </w:r>
                    </w:p>
                  </w:txbxContent>
                </v:textbox>
              </v:shape>
            </w:pict>
          </mc:Fallback>
        </mc:AlternateContent>
      </w:r>
      <w:r>
        <w:rPr>
          <w:sz w:val="20"/>
          <w:szCs w:val="20"/>
        </w:rPr>
        <w:t>Wei, T., &amp; Dimopoulos, T. (2013). Dye-Sensitized Solar Cells: From Materials to Devices. International Journal of Photoenergy, 2013, 1–2.</w:t>
      </w:r>
      <w:r>
        <w:fldChar w:fldCharType="begin"/>
      </w:r>
      <w:r>
        <w:instrText xml:space="preserve"> HYPERLINK "https://doi.org/10.1155/2013/789801" </w:instrText>
      </w:r>
      <w:r>
        <w:fldChar w:fldCharType="separate"/>
      </w:r>
      <w:r>
        <w:rPr>
          <w:rStyle w:val="25"/>
          <w:rFonts w:eastAsiaTheme="majorEastAsia"/>
          <w:color w:val="auto"/>
          <w:sz w:val="20"/>
          <w:szCs w:val="20"/>
          <w:shd w:val="clear" w:color="auto" w:fill="E3E8EE"/>
        </w:rPr>
        <w:t>https://doi.org/10.1155/2013/789801</w:t>
      </w:r>
      <w:r>
        <w:rPr>
          <w:rStyle w:val="25"/>
          <w:rFonts w:eastAsiaTheme="majorEastAsia"/>
          <w:color w:val="auto"/>
          <w:sz w:val="20"/>
          <w:szCs w:val="20"/>
          <w:shd w:val="clear" w:color="auto" w:fill="E3E8EE"/>
        </w:rPr>
        <w:fldChar w:fldCharType="end"/>
      </w:r>
    </w:p>
    <w:p w14:paraId="18B0FB89">
      <w:pPr>
        <w:jc w:val="both"/>
        <w:rPr>
          <w:rStyle w:val="25"/>
          <w:color w:val="auto"/>
          <w:sz w:val="20"/>
          <w:szCs w:val="20"/>
          <w:u w:val="none"/>
        </w:rPr>
      </w:pPr>
    </w:p>
    <w:p w14:paraId="58D6DE42">
      <w:pPr>
        <w:jc w:val="both"/>
        <w:rPr>
          <w:sz w:val="20"/>
          <w:szCs w:val="20"/>
        </w:rPr>
      </w:pPr>
      <w:r>
        <w:rPr>
          <w:sz w:val="20"/>
          <w:szCs w:val="20"/>
          <w:shd w:val="clear" w:color="auto" w:fill="FFFFFF"/>
        </w:rPr>
        <w:t>Wu, J., Lan, Z., Lin, J., Huang, M., Huang, Y., Fan, L., &amp; Luo, G. (2015). Electrolytes in dye-sensitized solar cells. </w:t>
      </w:r>
      <w:r>
        <w:rPr>
          <w:i/>
          <w:iCs/>
          <w:sz w:val="20"/>
          <w:szCs w:val="20"/>
          <w:shd w:val="clear" w:color="auto" w:fill="FFFFFF"/>
        </w:rPr>
        <w:t>Chemical reviews</w:t>
      </w:r>
      <w:r>
        <w:rPr>
          <w:sz w:val="20"/>
          <w:szCs w:val="20"/>
          <w:shd w:val="clear" w:color="auto" w:fill="FFFFFF"/>
        </w:rPr>
        <w:t>, </w:t>
      </w:r>
      <w:r>
        <w:rPr>
          <w:i/>
          <w:iCs/>
          <w:sz w:val="20"/>
          <w:szCs w:val="20"/>
          <w:shd w:val="clear" w:color="auto" w:fill="FFFFFF"/>
        </w:rPr>
        <w:t>115</w:t>
      </w:r>
      <w:r>
        <w:rPr>
          <w:sz w:val="20"/>
          <w:szCs w:val="20"/>
          <w:shd w:val="clear" w:color="auto" w:fill="FFFFFF"/>
        </w:rPr>
        <w:t>(5), 2136-2173.</w:t>
      </w:r>
    </w:p>
    <w:p w14:paraId="58928987">
      <w:pPr>
        <w:jc w:val="both"/>
        <w:rPr>
          <w:sz w:val="20"/>
          <w:szCs w:val="20"/>
        </w:rPr>
      </w:pPr>
    </w:p>
    <w:p w14:paraId="77C6F008">
      <w:pPr>
        <w:jc w:val="both"/>
        <w:rPr>
          <w:sz w:val="20"/>
          <w:szCs w:val="20"/>
        </w:rPr>
      </w:pPr>
      <w:r>
        <w:rPr>
          <w:sz w:val="20"/>
          <w:szCs w:val="20"/>
          <w:shd w:val="clear" w:color="auto" w:fill="FFFFFF"/>
        </w:rPr>
        <w:t>Wu, J., Lan, Z., Lin, J., Huang, M., Huang, Y., Fan, L., ... &amp; Wei, Y. (2017). Counter electrodes in dye-sensitized solar cells. </w:t>
      </w:r>
      <w:r>
        <w:rPr>
          <w:i/>
          <w:iCs/>
          <w:sz w:val="20"/>
          <w:szCs w:val="20"/>
          <w:shd w:val="clear" w:color="auto" w:fill="FFFFFF"/>
        </w:rPr>
        <w:t>Chemical Society Reviews</w:t>
      </w:r>
      <w:r>
        <w:rPr>
          <w:sz w:val="20"/>
          <w:szCs w:val="20"/>
          <w:shd w:val="clear" w:color="auto" w:fill="FFFFFF"/>
        </w:rPr>
        <w:t>, </w:t>
      </w:r>
      <w:r>
        <w:rPr>
          <w:i/>
          <w:iCs/>
          <w:sz w:val="20"/>
          <w:szCs w:val="20"/>
          <w:shd w:val="clear" w:color="auto" w:fill="FFFFFF"/>
        </w:rPr>
        <w:t>46</w:t>
      </w:r>
      <w:r>
        <w:rPr>
          <w:sz w:val="20"/>
          <w:szCs w:val="20"/>
          <w:shd w:val="clear" w:color="auto" w:fill="FFFFFF"/>
        </w:rPr>
        <w:t>(19), 5975-6023.</w:t>
      </w:r>
    </w:p>
    <w:p w14:paraId="03AFAC33">
      <w:pPr>
        <w:jc w:val="both"/>
        <w:rPr>
          <w:sz w:val="20"/>
          <w:szCs w:val="20"/>
        </w:rPr>
      </w:pPr>
    </w:p>
    <w:p w14:paraId="2F7138E3">
      <w:pPr>
        <w:jc w:val="both"/>
        <w:rPr>
          <w:sz w:val="20"/>
          <w:szCs w:val="20"/>
        </w:rPr>
      </w:pPr>
      <w:r>
        <w:rPr>
          <w:sz w:val="20"/>
          <w:szCs w:val="20"/>
          <w:shd w:val="clear" w:color="auto" w:fill="FFFFFF"/>
        </w:rPr>
        <w:t>Wu, K. L., Ho, S. T., Chou, C. C., Chang, Y. C., Pan, H. A., Chi, Y., &amp; Chou, P. T. (2012). Engineering of Osmium (II)‐Based Light Absorbers for Dye‐Sensitized Solar Cells. </w:t>
      </w:r>
      <w:r>
        <w:rPr>
          <w:i/>
          <w:iCs/>
          <w:sz w:val="20"/>
          <w:szCs w:val="20"/>
          <w:shd w:val="clear" w:color="auto" w:fill="FFFFFF"/>
          <w:lang w:val="fr-FR"/>
        </w:rPr>
        <w:t>Angewandte Chemie</w:t>
      </w:r>
      <w:r>
        <w:rPr>
          <w:sz w:val="20"/>
          <w:szCs w:val="20"/>
          <w:shd w:val="clear" w:color="auto" w:fill="FFFFFF"/>
          <w:lang w:val="fr-FR"/>
        </w:rPr>
        <w:t>, </w:t>
      </w:r>
      <w:r>
        <w:rPr>
          <w:i/>
          <w:iCs/>
          <w:sz w:val="20"/>
          <w:szCs w:val="20"/>
          <w:shd w:val="clear" w:color="auto" w:fill="FFFFFF"/>
          <w:lang w:val="fr-FR"/>
        </w:rPr>
        <w:t>124</w:t>
      </w:r>
      <w:r>
        <w:rPr>
          <w:sz w:val="20"/>
          <w:szCs w:val="20"/>
          <w:shd w:val="clear" w:color="auto" w:fill="FFFFFF"/>
          <w:lang w:val="fr-FR"/>
        </w:rPr>
        <w:t>(23), 5740-5744.</w:t>
      </w:r>
    </w:p>
    <w:p w14:paraId="0DAF2741">
      <w:pPr>
        <w:jc w:val="both"/>
        <w:rPr>
          <w:sz w:val="20"/>
          <w:szCs w:val="20"/>
        </w:rPr>
      </w:pPr>
    </w:p>
    <w:p w14:paraId="1B8AE9B7">
      <w:pPr>
        <w:jc w:val="both"/>
        <w:rPr>
          <w:sz w:val="20"/>
          <w:szCs w:val="20"/>
        </w:rPr>
      </w:pPr>
      <w:r>
        <w:rPr>
          <w:sz w:val="20"/>
          <w:szCs w:val="20"/>
          <w:shd w:val="clear" w:color="auto" w:fill="FFFFFF"/>
          <w:lang w:val="fr-FR"/>
        </w:rPr>
        <w:t xml:space="preserve">Wu, K. L., Ku, W. P., Wang, S. W., Yella, A., Chi, Y., Liu, S. H., ... </w:t>
      </w:r>
      <w:r>
        <w:rPr>
          <w:sz w:val="20"/>
          <w:szCs w:val="20"/>
          <w:shd w:val="clear" w:color="auto" w:fill="FFFFFF"/>
        </w:rPr>
        <w:t>&amp; Grätzel, M. (2013). Thiocyanate‐Free Ru (II) Sensitizers with a 4, 4′‐Dicarboxyvinyl‐2, 2′‐bipyridine Anchor for Dye‐Sensitized Solar Cells. </w:t>
      </w:r>
      <w:r>
        <w:rPr>
          <w:i/>
          <w:iCs/>
          <w:sz w:val="20"/>
          <w:szCs w:val="20"/>
          <w:shd w:val="clear" w:color="auto" w:fill="FFFFFF"/>
        </w:rPr>
        <w:t>Advanced Functional Materials</w:t>
      </w:r>
      <w:r>
        <w:rPr>
          <w:sz w:val="20"/>
          <w:szCs w:val="20"/>
          <w:shd w:val="clear" w:color="auto" w:fill="FFFFFF"/>
        </w:rPr>
        <w:t>, </w:t>
      </w:r>
      <w:r>
        <w:rPr>
          <w:i/>
          <w:iCs/>
          <w:sz w:val="20"/>
          <w:szCs w:val="20"/>
          <w:shd w:val="clear" w:color="auto" w:fill="FFFFFF"/>
        </w:rPr>
        <w:t>23</w:t>
      </w:r>
      <w:r>
        <w:rPr>
          <w:sz w:val="20"/>
          <w:szCs w:val="20"/>
          <w:shd w:val="clear" w:color="auto" w:fill="FFFFFF"/>
        </w:rPr>
        <w:t>(18), 2285-2294.</w:t>
      </w:r>
    </w:p>
    <w:p w14:paraId="76968D15">
      <w:pPr>
        <w:jc w:val="both"/>
        <w:rPr>
          <w:sz w:val="20"/>
          <w:szCs w:val="20"/>
        </w:rPr>
      </w:pPr>
    </w:p>
    <w:p w14:paraId="4A002561">
      <w:pPr>
        <w:jc w:val="both"/>
        <w:rPr>
          <w:sz w:val="20"/>
          <w:szCs w:val="20"/>
        </w:rPr>
      </w:pPr>
      <w:r>
        <w:rPr>
          <w:sz w:val="20"/>
          <w:szCs w:val="20"/>
          <w:shd w:val="clear" w:color="auto" w:fill="FFFFFF"/>
        </w:rPr>
        <w:t>Xiao, X. (2021). Physical Properties Of Perovskite Materials: Understanding And Managing Carrier Behavior For Efficient Solar Cells.</w:t>
      </w:r>
    </w:p>
    <w:p w14:paraId="546ADD37">
      <w:pPr>
        <w:jc w:val="both"/>
        <w:rPr>
          <w:sz w:val="20"/>
          <w:szCs w:val="20"/>
        </w:rPr>
      </w:pPr>
    </w:p>
    <w:p w14:paraId="31981FB5">
      <w:pPr>
        <w:jc w:val="both"/>
        <w:rPr>
          <w:sz w:val="20"/>
          <w:szCs w:val="20"/>
        </w:rPr>
      </w:pPr>
      <w:r>
        <w:rPr>
          <w:sz w:val="20"/>
          <w:szCs w:val="20"/>
          <w:shd w:val="clear" w:color="auto" w:fill="FFFFFF"/>
        </w:rPr>
        <w:t>Yahya, M., Bouziani, A., Ocak, C., Seferoğlu, Z., &amp; Sillanpää, M. (2021). Organic/metal-organic photosensitizers for dye-sensitized solar cells (DSSC): Recent developments, new trends, and future perceptions. </w:t>
      </w:r>
      <w:r>
        <w:rPr>
          <w:i/>
          <w:iCs/>
          <w:sz w:val="20"/>
          <w:szCs w:val="20"/>
          <w:shd w:val="clear" w:color="auto" w:fill="FFFFFF"/>
        </w:rPr>
        <w:t>Dyes and Pigments</w:t>
      </w:r>
      <w:r>
        <w:rPr>
          <w:sz w:val="20"/>
          <w:szCs w:val="20"/>
          <w:shd w:val="clear" w:color="auto" w:fill="FFFFFF"/>
        </w:rPr>
        <w:t>, </w:t>
      </w:r>
      <w:r>
        <w:rPr>
          <w:i/>
          <w:iCs/>
          <w:sz w:val="20"/>
          <w:szCs w:val="20"/>
          <w:shd w:val="clear" w:color="auto" w:fill="FFFFFF"/>
        </w:rPr>
        <w:t>192</w:t>
      </w:r>
      <w:r>
        <w:rPr>
          <w:sz w:val="20"/>
          <w:szCs w:val="20"/>
          <w:shd w:val="clear" w:color="auto" w:fill="FFFFFF"/>
        </w:rPr>
        <w:t>, 109227.</w:t>
      </w:r>
    </w:p>
    <w:p w14:paraId="48262290">
      <w:pPr>
        <w:jc w:val="both"/>
        <w:rPr>
          <w:sz w:val="20"/>
          <w:szCs w:val="20"/>
        </w:rPr>
      </w:pPr>
    </w:p>
    <w:p w14:paraId="4A4B1395">
      <w:pPr>
        <w:jc w:val="both"/>
        <w:rPr>
          <w:sz w:val="20"/>
          <w:szCs w:val="20"/>
        </w:rPr>
      </w:pPr>
      <w:r>
        <w:rPr>
          <w:sz w:val="20"/>
          <w:szCs w:val="20"/>
          <w:shd w:val="clear" w:color="auto" w:fill="FFFFFF"/>
        </w:rPr>
        <w:t>Yarur, F. (2020). </w:t>
      </w:r>
      <w:r>
        <w:rPr>
          <w:i/>
          <w:iCs/>
          <w:sz w:val="20"/>
          <w:szCs w:val="20"/>
          <w:shd w:val="clear" w:color="auto" w:fill="FFFFFF"/>
        </w:rPr>
        <w:t>Photosensitization of Inorganic Semiconducting Nanostructures for Solar Energy Conversion</w:t>
      </w:r>
      <w:r>
        <w:rPr>
          <w:sz w:val="20"/>
          <w:szCs w:val="20"/>
          <w:shd w:val="clear" w:color="auto" w:fill="FFFFFF"/>
        </w:rPr>
        <w:t> (Doctoral dissertation, Concordia University).</w:t>
      </w:r>
    </w:p>
    <w:p w14:paraId="208BC9A7">
      <w:pPr>
        <w:jc w:val="both"/>
        <w:rPr>
          <w:sz w:val="20"/>
          <w:szCs w:val="20"/>
        </w:rPr>
      </w:pPr>
    </w:p>
    <w:p w14:paraId="2B701144">
      <w:pPr>
        <w:jc w:val="both"/>
        <w:rPr>
          <w:sz w:val="20"/>
          <w:szCs w:val="20"/>
        </w:rPr>
      </w:pPr>
      <w:r>
        <w:rPr>
          <w:sz w:val="20"/>
          <w:szCs w:val="20"/>
          <w:shd w:val="clear" w:color="auto" w:fill="FFFFFF"/>
        </w:rPr>
        <w:t>Ye, D., Ding, Y., Duan, Y., Su, J., Yin, Z., &amp; Huang, Y. A. (2018). Large‐scale direct‐writing of aligned nanofibers for flexible electronics. </w:t>
      </w:r>
      <w:r>
        <w:rPr>
          <w:i/>
          <w:iCs/>
          <w:sz w:val="20"/>
          <w:szCs w:val="20"/>
          <w:shd w:val="clear" w:color="auto" w:fill="FFFFFF"/>
        </w:rPr>
        <w:t>Small</w:t>
      </w:r>
      <w:r>
        <w:rPr>
          <w:sz w:val="20"/>
          <w:szCs w:val="20"/>
          <w:shd w:val="clear" w:color="auto" w:fill="FFFFFF"/>
        </w:rPr>
        <w:t>, </w:t>
      </w:r>
      <w:r>
        <w:rPr>
          <w:i/>
          <w:iCs/>
          <w:sz w:val="20"/>
          <w:szCs w:val="20"/>
          <w:shd w:val="clear" w:color="auto" w:fill="FFFFFF"/>
        </w:rPr>
        <w:t>14</w:t>
      </w:r>
      <w:r>
        <w:rPr>
          <w:sz w:val="20"/>
          <w:szCs w:val="20"/>
          <w:shd w:val="clear" w:color="auto" w:fill="FFFFFF"/>
        </w:rPr>
        <w:t>(21), 1703521.</w:t>
      </w:r>
    </w:p>
    <w:p w14:paraId="6355EEE0">
      <w:pPr>
        <w:jc w:val="both"/>
        <w:rPr>
          <w:sz w:val="20"/>
          <w:szCs w:val="20"/>
        </w:rPr>
      </w:pPr>
    </w:p>
    <w:p w14:paraId="74E46736">
      <w:pPr>
        <w:jc w:val="both"/>
        <w:rPr>
          <w:sz w:val="20"/>
          <w:szCs w:val="20"/>
        </w:rPr>
      </w:pPr>
      <w:r>
        <w:rPr>
          <w:sz w:val="20"/>
          <w:szCs w:val="20"/>
          <w:shd w:val="clear" w:color="auto" w:fill="FFFFFF"/>
        </w:rPr>
        <w:t>Yella, A., Lee, H. W., Tsao, H. N., Yi, C., Chandiran, A. K., Nazeeruddin, M. K., ... &amp; Grätzel, M. (2011). Porphyrin-sensitized solar cells with cobalt (II/III)–based redox electrolyte exceed 12 percent efficiency. </w:t>
      </w:r>
      <w:r>
        <w:rPr>
          <w:i/>
          <w:iCs/>
          <w:sz w:val="20"/>
          <w:szCs w:val="20"/>
          <w:shd w:val="clear" w:color="auto" w:fill="FFFFFF"/>
        </w:rPr>
        <w:t>science</w:t>
      </w:r>
      <w:r>
        <w:rPr>
          <w:sz w:val="20"/>
          <w:szCs w:val="20"/>
          <w:shd w:val="clear" w:color="auto" w:fill="FFFFFF"/>
        </w:rPr>
        <w:t>, </w:t>
      </w:r>
      <w:r>
        <w:rPr>
          <w:i/>
          <w:iCs/>
          <w:sz w:val="20"/>
          <w:szCs w:val="20"/>
          <w:shd w:val="clear" w:color="auto" w:fill="FFFFFF"/>
        </w:rPr>
        <w:t>334</w:t>
      </w:r>
      <w:r>
        <w:rPr>
          <w:sz w:val="20"/>
          <w:szCs w:val="20"/>
          <w:shd w:val="clear" w:color="auto" w:fill="FFFFFF"/>
        </w:rPr>
        <w:t>(6056), 629-634.</w:t>
      </w:r>
    </w:p>
    <w:p w14:paraId="5340A861">
      <w:pPr>
        <w:jc w:val="both"/>
        <w:rPr>
          <w:sz w:val="20"/>
          <w:szCs w:val="20"/>
        </w:rPr>
      </w:pPr>
    </w:p>
    <w:p w14:paraId="5B9CE169">
      <w:pPr>
        <w:jc w:val="both"/>
        <w:rPr>
          <w:rStyle w:val="25"/>
          <w:color w:val="auto"/>
          <w:sz w:val="20"/>
          <w:szCs w:val="20"/>
          <w:u w:val="none"/>
        </w:rPr>
      </w:pPr>
      <w:r>
        <w:rPr>
          <w:sz w:val="20"/>
          <w:szCs w:val="20"/>
        </w:rPr>
        <w:t xml:space="preserve">Yeoh, M.-E., &amp; Chan, K.-Y. (2017). Recent advances in photo-anode for dye-sensitized solar cells: a review. International Journal of Energy Research, 41(15), 2446–2467. </w:t>
      </w:r>
      <w:r>
        <w:fldChar w:fldCharType="begin"/>
      </w:r>
      <w:r>
        <w:instrText xml:space="preserve"> HYPERLINK "https://doi.org/10.1002/er.3764" </w:instrText>
      </w:r>
      <w:r>
        <w:fldChar w:fldCharType="separate"/>
      </w:r>
      <w:r>
        <w:rPr>
          <w:rStyle w:val="25"/>
          <w:rFonts w:eastAsiaTheme="majorEastAsia"/>
          <w:color w:val="auto"/>
          <w:sz w:val="20"/>
          <w:szCs w:val="20"/>
        </w:rPr>
        <w:t>https://doi.org/10.1002/er.3764</w:t>
      </w:r>
      <w:r>
        <w:rPr>
          <w:rStyle w:val="25"/>
          <w:rFonts w:eastAsiaTheme="majorEastAsia"/>
          <w:color w:val="auto"/>
          <w:sz w:val="20"/>
          <w:szCs w:val="20"/>
        </w:rPr>
        <w:fldChar w:fldCharType="end"/>
      </w:r>
    </w:p>
    <w:p w14:paraId="552CBA7D">
      <w:pPr>
        <w:jc w:val="both"/>
        <w:rPr>
          <w:rStyle w:val="25"/>
          <w:color w:val="auto"/>
          <w:sz w:val="20"/>
          <w:szCs w:val="20"/>
          <w:u w:val="none"/>
        </w:rPr>
      </w:pPr>
    </w:p>
    <w:p w14:paraId="6E6A5F39">
      <w:pPr>
        <w:jc w:val="both"/>
        <w:rPr>
          <w:rStyle w:val="25"/>
          <w:color w:val="auto"/>
          <w:sz w:val="20"/>
          <w:szCs w:val="20"/>
          <w:u w:val="none"/>
        </w:rPr>
      </w:pPr>
      <w:r>
        <w:rPr>
          <w:sz w:val="20"/>
          <w:szCs w:val="20"/>
        </w:rPr>
        <w:t xml:space="preserve">Yin Dong Yang, Wu, P., Deng, J., Barati, M., &amp; McLean, A. (2013). Developments of Solar Cell Materials and Fabrication Technology and their Effects on Energy Conversion Efficiency. Applied Mechanics and Materials, 378, 293–301. </w:t>
      </w:r>
      <w:r>
        <w:fldChar w:fldCharType="begin"/>
      </w:r>
      <w:r>
        <w:instrText xml:space="preserve"> HYPERLINK "https://doi.org/10.4028/www.scientific.net/amm.378.293" </w:instrText>
      </w:r>
      <w:r>
        <w:fldChar w:fldCharType="separate"/>
      </w:r>
      <w:r>
        <w:rPr>
          <w:rStyle w:val="25"/>
          <w:rFonts w:eastAsiaTheme="majorEastAsia"/>
          <w:color w:val="auto"/>
          <w:sz w:val="20"/>
          <w:szCs w:val="20"/>
        </w:rPr>
        <w:t>https://doi.org/10.4028/www.scientific.net/amm.378.293</w:t>
      </w:r>
      <w:r>
        <w:rPr>
          <w:rStyle w:val="25"/>
          <w:rFonts w:eastAsiaTheme="majorEastAsia"/>
          <w:color w:val="auto"/>
          <w:sz w:val="20"/>
          <w:szCs w:val="20"/>
        </w:rPr>
        <w:fldChar w:fldCharType="end"/>
      </w:r>
    </w:p>
    <w:p w14:paraId="3FB90EDF">
      <w:pPr>
        <w:jc w:val="both"/>
        <w:rPr>
          <w:rStyle w:val="25"/>
          <w:color w:val="auto"/>
          <w:sz w:val="20"/>
          <w:szCs w:val="20"/>
          <w:u w:val="none"/>
        </w:rPr>
      </w:pPr>
    </w:p>
    <w:p w14:paraId="55C26971">
      <w:pPr>
        <w:jc w:val="both"/>
        <w:rPr>
          <w:sz w:val="20"/>
          <w:szCs w:val="20"/>
        </w:rPr>
      </w:pPr>
      <w:r>
        <w:rPr>
          <w:sz w:val="20"/>
          <w:szCs w:val="20"/>
          <w:shd w:val="clear" w:color="auto" w:fill="FFFFFF"/>
        </w:rPr>
        <w:t>Ying, W., Guo, F., Li, J., Zhang, Q., Wu, W., Tian, H., &amp; Hua, J. (2012). Series of new DA-π-A organic broadly absorbing sensitizers containing isoindigo unit for highly efficient dye-sensitized solar cells. </w:t>
      </w:r>
      <w:r>
        <w:rPr>
          <w:i/>
          <w:iCs/>
          <w:sz w:val="20"/>
          <w:szCs w:val="20"/>
          <w:shd w:val="clear" w:color="auto" w:fill="FFFFFF"/>
        </w:rPr>
        <w:t>ACS Applied Materials &amp; Interfaces</w:t>
      </w:r>
      <w:r>
        <w:rPr>
          <w:sz w:val="20"/>
          <w:szCs w:val="20"/>
          <w:shd w:val="clear" w:color="auto" w:fill="FFFFFF"/>
        </w:rPr>
        <w:t>, </w:t>
      </w:r>
      <w:r>
        <w:rPr>
          <w:i/>
          <w:iCs/>
          <w:sz w:val="20"/>
          <w:szCs w:val="20"/>
          <w:shd w:val="clear" w:color="auto" w:fill="FFFFFF"/>
        </w:rPr>
        <w:t>4</w:t>
      </w:r>
      <w:r>
        <w:rPr>
          <w:sz w:val="20"/>
          <w:szCs w:val="20"/>
          <w:shd w:val="clear" w:color="auto" w:fill="FFFFFF"/>
        </w:rPr>
        <w:t>(8), 4215-4224.</w:t>
      </w:r>
    </w:p>
    <w:p w14:paraId="15588FD0">
      <w:pPr>
        <w:jc w:val="both"/>
        <w:rPr>
          <w:sz w:val="20"/>
          <w:szCs w:val="20"/>
        </w:rPr>
      </w:pPr>
    </w:p>
    <w:p w14:paraId="59B54613">
      <w:pPr>
        <w:jc w:val="both"/>
        <w:rPr>
          <w:sz w:val="20"/>
          <w:szCs w:val="20"/>
        </w:rPr>
      </w:pPr>
      <w:r>
        <w:rPr>
          <w:sz w:val="20"/>
          <w:szCs w:val="20"/>
          <w:shd w:val="clear" w:color="auto" w:fill="FFFFFF"/>
        </w:rPr>
        <w:t>Yoon, C. H., Vittal, R., Lee, J., Chae, W. S., &amp; Kim, K. J. (2008). Enhanced performance of a dye-sensitized solar cell with an electrodeposited-platinum counter electrode. </w:t>
      </w:r>
      <w:r>
        <w:rPr>
          <w:i/>
          <w:iCs/>
          <w:sz w:val="20"/>
          <w:szCs w:val="20"/>
          <w:shd w:val="clear" w:color="auto" w:fill="FFFFFF"/>
        </w:rPr>
        <w:t>Electrochimica Acta</w:t>
      </w:r>
      <w:r>
        <w:rPr>
          <w:sz w:val="20"/>
          <w:szCs w:val="20"/>
          <w:shd w:val="clear" w:color="auto" w:fill="FFFFFF"/>
        </w:rPr>
        <w:t>, </w:t>
      </w:r>
      <w:r>
        <w:rPr>
          <w:i/>
          <w:iCs/>
          <w:sz w:val="20"/>
          <w:szCs w:val="20"/>
          <w:shd w:val="clear" w:color="auto" w:fill="FFFFFF"/>
        </w:rPr>
        <w:t>53</w:t>
      </w:r>
      <w:r>
        <w:rPr>
          <w:sz w:val="20"/>
          <w:szCs w:val="20"/>
          <w:shd w:val="clear" w:color="auto" w:fill="FFFFFF"/>
        </w:rPr>
        <w:t>(6), 2890-2896.</w:t>
      </w:r>
    </w:p>
    <w:p w14:paraId="440B5685">
      <w:pPr>
        <w:jc w:val="both"/>
        <w:rPr>
          <w:sz w:val="20"/>
          <w:szCs w:val="20"/>
        </w:rPr>
      </w:pPr>
    </w:p>
    <w:p w14:paraId="5A0CB961">
      <w:pPr>
        <w:jc w:val="both"/>
        <w:rPr>
          <w:sz w:val="20"/>
          <w:szCs w:val="20"/>
        </w:rPr>
      </w:pPr>
      <w:r>
        <w:rPr>
          <w:sz w:val="20"/>
          <w:szCs w:val="20"/>
          <w:shd w:val="clear" w:color="auto" w:fill="FFFFFF"/>
        </w:rPr>
        <w:t>Younes, A. H., &amp; Ghaddar, T. H. (2008). Synthesis and photophysical properties of ruthenium-based dendrimers and their use in dye sensitized solar cells. </w:t>
      </w:r>
      <w:r>
        <w:rPr>
          <w:i/>
          <w:iCs/>
          <w:sz w:val="20"/>
          <w:szCs w:val="20"/>
          <w:shd w:val="clear" w:color="auto" w:fill="FFFFFF"/>
        </w:rPr>
        <w:t>Inorganic chemistry</w:t>
      </w:r>
      <w:r>
        <w:rPr>
          <w:sz w:val="20"/>
          <w:szCs w:val="20"/>
          <w:shd w:val="clear" w:color="auto" w:fill="FFFFFF"/>
        </w:rPr>
        <w:t>, </w:t>
      </w:r>
      <w:r>
        <w:rPr>
          <w:i/>
          <w:iCs/>
          <w:sz w:val="20"/>
          <w:szCs w:val="20"/>
          <w:shd w:val="clear" w:color="auto" w:fill="FFFFFF"/>
        </w:rPr>
        <w:t>47</w:t>
      </w:r>
      <w:r>
        <w:rPr>
          <w:sz w:val="20"/>
          <w:szCs w:val="20"/>
          <w:shd w:val="clear" w:color="auto" w:fill="FFFFFF"/>
        </w:rPr>
        <w:t>(8), 3408-3414.</w:t>
      </w:r>
    </w:p>
    <w:p w14:paraId="26DC2B32">
      <w:pPr>
        <w:jc w:val="both"/>
        <w:rPr>
          <w:sz w:val="20"/>
          <w:szCs w:val="20"/>
        </w:rPr>
      </w:pPr>
    </w:p>
    <w:p w14:paraId="7B3201E4">
      <w:pPr>
        <w:jc w:val="both"/>
        <w:rPr>
          <w:sz w:val="20"/>
          <w:szCs w:val="20"/>
        </w:rPr>
      </w:pPr>
      <w:r>
        <w:rPr>
          <w:sz w:val="20"/>
          <w:szCs w:val="20"/>
          <w:shd w:val="clear" w:color="auto" w:fill="FFFFFF"/>
        </w:rPr>
        <w:t>Yun, S., Freitas, J. N., Nogueira, A. F., Wang, Y., Ahmad, S., &amp; Wang, Z. S. (2016). Dye-sensitized solar cells employing polymers. </w:t>
      </w:r>
      <w:r>
        <w:rPr>
          <w:i/>
          <w:iCs/>
          <w:sz w:val="20"/>
          <w:szCs w:val="20"/>
          <w:shd w:val="clear" w:color="auto" w:fill="FFFFFF"/>
        </w:rPr>
        <w:t>Progress in Polymer Science</w:t>
      </w:r>
      <w:r>
        <w:rPr>
          <w:sz w:val="20"/>
          <w:szCs w:val="20"/>
          <w:shd w:val="clear" w:color="auto" w:fill="FFFFFF"/>
        </w:rPr>
        <w:t>, </w:t>
      </w:r>
      <w:r>
        <w:rPr>
          <w:i/>
          <w:iCs/>
          <w:sz w:val="20"/>
          <w:szCs w:val="20"/>
          <w:shd w:val="clear" w:color="auto" w:fill="FFFFFF"/>
        </w:rPr>
        <w:t>59</w:t>
      </w:r>
      <w:r>
        <w:rPr>
          <w:sz w:val="20"/>
          <w:szCs w:val="20"/>
          <w:shd w:val="clear" w:color="auto" w:fill="FFFFFF"/>
        </w:rPr>
        <w:t>, 1-40.</w:t>
      </w:r>
    </w:p>
    <w:p w14:paraId="602AC5B9">
      <w:pPr>
        <w:jc w:val="both"/>
        <w:rPr>
          <w:sz w:val="20"/>
          <w:szCs w:val="20"/>
        </w:rPr>
      </w:pPr>
    </w:p>
    <w:p w14:paraId="447A2BC9">
      <w:pPr>
        <w:jc w:val="both"/>
        <w:rPr>
          <w:rStyle w:val="25"/>
          <w:color w:val="auto"/>
          <w:sz w:val="20"/>
          <w:szCs w:val="20"/>
          <w:u w:val="none"/>
        </w:rPr>
      </w:pPr>
      <w:r>
        <w:rPr>
          <w:sz w:val="20"/>
          <w:szCs w:val="20"/>
        </w:rPr>
        <w:t>Zalas, M., Gierczyk, B., Klein, M., Siuzdak, K., Pędziński, T., &amp; Łuczak, T. (2014). Synthesis of a novel dinuclear ruthenium polypyridine dye for dye-sensitized solar cells application. </w:t>
      </w:r>
      <w:r>
        <w:rPr>
          <w:sz w:val="20"/>
          <w:szCs w:val="20"/>
          <w:lang w:val="fr-FR"/>
        </w:rPr>
        <w:t xml:space="preserve">Polyhedron, 67, 381–387. </w:t>
      </w:r>
      <w:r>
        <w:fldChar w:fldCharType="begin"/>
      </w:r>
      <w:r>
        <w:instrText xml:space="preserve"> HYPERLINK "https://doi.org/10.1016/j.poly.2013.09.023" </w:instrText>
      </w:r>
      <w:r>
        <w:fldChar w:fldCharType="separate"/>
      </w:r>
      <w:r>
        <w:rPr>
          <w:rStyle w:val="25"/>
          <w:rFonts w:eastAsiaTheme="majorEastAsia"/>
          <w:color w:val="auto"/>
          <w:sz w:val="20"/>
          <w:szCs w:val="20"/>
          <w:lang w:val="fr-FR"/>
        </w:rPr>
        <w:t>https://doi.org/10.1016/j.poly.2013.09.023</w:t>
      </w:r>
      <w:r>
        <w:rPr>
          <w:rStyle w:val="25"/>
          <w:rFonts w:eastAsiaTheme="majorEastAsia"/>
          <w:color w:val="auto"/>
          <w:sz w:val="20"/>
          <w:szCs w:val="20"/>
          <w:lang w:val="fr-FR"/>
        </w:rPr>
        <w:fldChar w:fldCharType="end"/>
      </w:r>
    </w:p>
    <w:p w14:paraId="66419936">
      <w:pPr>
        <w:jc w:val="both"/>
        <w:rPr>
          <w:rStyle w:val="25"/>
          <w:color w:val="auto"/>
          <w:sz w:val="20"/>
          <w:szCs w:val="20"/>
          <w:u w:val="none"/>
        </w:rPr>
      </w:pPr>
    </w:p>
    <w:p w14:paraId="6001D5C7">
      <w:pPr>
        <w:jc w:val="both"/>
        <w:rPr>
          <w:sz w:val="20"/>
          <w:szCs w:val="20"/>
        </w:rPr>
      </w:pPr>
      <w:r>
        <w:rPr>
          <w:sz w:val="20"/>
          <w:szCs w:val="20"/>
          <w:shd w:val="clear" w:color="auto" w:fill="FFFFFF"/>
          <w:lang w:val="fr-FR"/>
        </w:rPr>
        <w:t xml:space="preserve">Zhang, C., Zhang, J., Ma, X., Feng, Q., Zhang, C., Zhang, J., ... </w:t>
      </w:r>
      <w:r>
        <w:rPr>
          <w:sz w:val="20"/>
          <w:szCs w:val="20"/>
          <w:shd w:val="clear" w:color="auto" w:fill="FFFFFF"/>
        </w:rPr>
        <w:t>&amp; Feng, Q. (2021). Dye-Sensitized Solar Cell. </w:t>
      </w:r>
      <w:r>
        <w:rPr>
          <w:i/>
          <w:iCs/>
          <w:sz w:val="20"/>
          <w:szCs w:val="20"/>
          <w:shd w:val="clear" w:color="auto" w:fill="FFFFFF"/>
        </w:rPr>
        <w:t>Semiconductor Photovoltaic Cells</w:t>
      </w:r>
      <w:r>
        <w:rPr>
          <w:sz w:val="20"/>
          <w:szCs w:val="20"/>
          <w:shd w:val="clear" w:color="auto" w:fill="FFFFFF"/>
        </w:rPr>
        <w:t>, 325-372.</w:t>
      </w:r>
    </w:p>
    <w:p w14:paraId="77F38A31">
      <w:pPr>
        <w:jc w:val="both"/>
        <w:rPr>
          <w:sz w:val="20"/>
          <w:szCs w:val="20"/>
        </w:rPr>
      </w:pPr>
    </w:p>
    <w:p w14:paraId="376F1C2D">
      <w:pPr>
        <w:jc w:val="both"/>
        <w:rPr>
          <w:sz w:val="20"/>
          <w:szCs w:val="20"/>
        </w:rPr>
      </w:pPr>
      <w:r>
        <w:rPr>
          <w:sz w:val="20"/>
          <w:szCs w:val="20"/>
          <w:shd w:val="clear" w:color="auto" w:fill="FFFFFF"/>
        </w:rPr>
        <w:t>Zhang, J., Chen, X., Wang, L., Zheng, Z. S., Zhu, H. P., Li, B., ... &amp; Liu, X. Y. (2019). Studies of radiation effects in Al2O3-based metal-oxide-semiconductor structures induced by Si heavy ions. </w:t>
      </w:r>
      <w:r>
        <w:rPr>
          <w:i/>
          <w:iCs/>
          <w:sz w:val="20"/>
          <w:szCs w:val="20"/>
          <w:shd w:val="clear" w:color="auto" w:fill="FFFFFF"/>
        </w:rPr>
        <w:t>Journal of Applied Physics</w:t>
      </w:r>
      <w:r>
        <w:rPr>
          <w:sz w:val="20"/>
          <w:szCs w:val="20"/>
          <w:shd w:val="clear" w:color="auto" w:fill="FFFFFF"/>
        </w:rPr>
        <w:t>, </w:t>
      </w:r>
      <w:r>
        <w:rPr>
          <w:i/>
          <w:iCs/>
          <w:sz w:val="20"/>
          <w:szCs w:val="20"/>
          <w:shd w:val="clear" w:color="auto" w:fill="FFFFFF"/>
        </w:rPr>
        <w:t>125</w:t>
      </w:r>
      <w:r>
        <w:rPr>
          <w:sz w:val="20"/>
          <w:szCs w:val="20"/>
          <w:shd w:val="clear" w:color="auto" w:fill="FFFFFF"/>
        </w:rPr>
        <w:t>(11).</w:t>
      </w:r>
    </w:p>
    <w:p w14:paraId="48415E6D">
      <w:pPr>
        <w:jc w:val="both"/>
        <w:rPr>
          <w:sz w:val="20"/>
          <w:szCs w:val="20"/>
        </w:rPr>
      </w:pPr>
    </w:p>
    <w:p w14:paraId="4EFC09B6">
      <w:pPr>
        <w:jc w:val="both"/>
        <w:rPr>
          <w:sz w:val="20"/>
          <w:szCs w:val="20"/>
        </w:rPr>
      </w:pPr>
      <w:r>
        <w:rPr>
          <w:sz w:val="20"/>
          <w:szCs w:val="20"/>
          <w:shd w:val="clear" w:color="auto" w:fill="FFFFFF"/>
        </w:rPr>
        <w:t>Zhang, J., Du, P., Schneider, J., Jarosz, P., &amp; Eisenberg, R. (2007). Photogeneration of hydrogen from water using an integrated system based on TiO2 and platinum (II) diimine dithiolate sensitizers. </w:t>
      </w:r>
      <w:r>
        <w:rPr>
          <w:i/>
          <w:iCs/>
          <w:sz w:val="20"/>
          <w:szCs w:val="20"/>
          <w:shd w:val="clear" w:color="auto" w:fill="FFFFFF"/>
        </w:rPr>
        <w:t>Journal of the American Chemical Society</w:t>
      </w:r>
      <w:r>
        <w:rPr>
          <w:sz w:val="20"/>
          <w:szCs w:val="20"/>
          <w:shd w:val="clear" w:color="auto" w:fill="FFFFFF"/>
        </w:rPr>
        <w:t>, </w:t>
      </w:r>
      <w:r>
        <w:rPr>
          <w:i/>
          <w:iCs/>
          <w:sz w:val="20"/>
          <w:szCs w:val="20"/>
          <w:shd w:val="clear" w:color="auto" w:fill="FFFFFF"/>
        </w:rPr>
        <w:t>129</w:t>
      </w:r>
      <w:r>
        <w:rPr>
          <w:sz w:val="20"/>
          <w:szCs w:val="20"/>
          <w:shd w:val="clear" w:color="auto" w:fill="FFFFFF"/>
        </w:rPr>
        <w:t>(25), 7726-7727.</w:t>
      </w:r>
    </w:p>
    <w:p w14:paraId="3A7101FB">
      <w:pPr>
        <w:jc w:val="both"/>
        <w:rPr>
          <w:sz w:val="20"/>
          <w:szCs w:val="20"/>
        </w:rPr>
      </w:pPr>
    </w:p>
    <w:p w14:paraId="263FCF97">
      <w:pPr>
        <w:jc w:val="both"/>
        <w:rPr>
          <w:sz w:val="20"/>
          <w:szCs w:val="20"/>
        </w:rPr>
      </w:pPr>
      <w:r>
        <w:rPr>
          <w:sz w:val="20"/>
          <w:szCs w:val="20"/>
          <w:shd w:val="clear" w:color="auto" w:fill="FFFFFF"/>
        </w:rPr>
        <w:t>Zhang, L., &amp; Cole, J. M. (2015). Anchoring groups for dye-sensitized solar cells. </w:t>
      </w:r>
      <w:r>
        <w:rPr>
          <w:i/>
          <w:iCs/>
          <w:sz w:val="20"/>
          <w:szCs w:val="20"/>
          <w:shd w:val="clear" w:color="auto" w:fill="FFFFFF"/>
        </w:rPr>
        <w:t>ACS applied materials &amp; interfaces</w:t>
      </w:r>
      <w:r>
        <w:rPr>
          <w:sz w:val="20"/>
          <w:szCs w:val="20"/>
          <w:shd w:val="clear" w:color="auto" w:fill="FFFFFF"/>
        </w:rPr>
        <w:t>, </w:t>
      </w:r>
      <w:r>
        <w:rPr>
          <w:i/>
          <w:iCs/>
          <w:sz w:val="20"/>
          <w:szCs w:val="20"/>
          <w:shd w:val="clear" w:color="auto" w:fill="FFFFFF"/>
        </w:rPr>
        <w:t>7</w:t>
      </w:r>
      <w:r>
        <w:rPr>
          <w:sz w:val="20"/>
          <w:szCs w:val="20"/>
          <w:shd w:val="clear" w:color="auto" w:fill="FFFFFF"/>
        </w:rPr>
        <w:t>(6), 3427-3455.</w:t>
      </w:r>
    </w:p>
    <w:p w14:paraId="4E1F2DD7">
      <w:pPr>
        <w:jc w:val="both"/>
        <w:rPr>
          <w:sz w:val="20"/>
          <w:szCs w:val="20"/>
        </w:rPr>
      </w:pPr>
    </w:p>
    <w:p w14:paraId="63AD58D0">
      <w:pPr>
        <w:jc w:val="both"/>
        <w:rPr>
          <w:sz w:val="20"/>
          <w:szCs w:val="20"/>
        </w:rPr>
      </w:pPr>
      <w:r>
        <mc:AlternateContent>
          <mc:Choice Requires="wps">
            <w:drawing>
              <wp:anchor distT="0" distB="0" distL="114300" distR="114300" simplePos="0" relativeHeight="251696128" behindDoc="0" locked="0" layoutInCell="1" allowOverlap="1">
                <wp:simplePos x="0" y="0"/>
                <wp:positionH relativeFrom="column">
                  <wp:posOffset>2832100</wp:posOffset>
                </wp:positionH>
                <wp:positionV relativeFrom="paragraph">
                  <wp:posOffset>551815</wp:posOffset>
                </wp:positionV>
                <wp:extent cx="495300" cy="316230"/>
                <wp:effectExtent l="0" t="0" r="0" b="0"/>
                <wp:wrapNone/>
                <wp:docPr id="647431532"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19E5EA2B">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223pt;margin-top:43.45pt;height:24.9pt;width:39pt;z-index:251696128;mso-width-relative:page;mso-height-relative:page;" filled="f" stroked="f" coordsize="21600,21600" o:gfxdata="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WAr9tsAAAAKAQAADwAAAAAAAAABACAAAAAiAAAAZHJzL2Rvd25yZXYu&#10;eG1sUEsBAhQAFAAAAAgAh07iQL05WvcxAgAAbAQAAA4AAAAAAAAAAQAgAAAAKgEAAGRycy9lMm9E&#10;b2MueG1sUEsFBgAAAAAGAAYAWQEAAM0FAAAAAA==&#10;">
                <v:fill on="f" focussize="0,0"/>
                <v:stroke on="f" weight="0.5pt"/>
                <v:imagedata o:title=""/>
                <o:lock v:ext="edit" aspectratio="f"/>
                <v:textbox>
                  <w:txbxContent>
                    <w:p w14:paraId="19E5EA2B">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295</w:t>
                      </w:r>
                    </w:p>
                  </w:txbxContent>
                </v:textbox>
              </v:shape>
            </w:pict>
          </mc:Fallback>
        </mc:AlternateContent>
      </w:r>
      <w:r>
        <w:rPr>
          <w:sz w:val="20"/>
          <w:szCs w:val="20"/>
          <w:shd w:val="clear" w:color="auto" w:fill="FFFFFF"/>
        </w:rPr>
        <w:t>Zhang, M. D., Xie, H. X., Ju, X. H., Qin, L., Yang, Q. X., Zheng, H. G., &amp; Zhou, X. F. (2013). DD-π-A organic dyes containing 4, 4′-di (2-thienyl) triphenylamine moiety for efficient dye-sensitized solar cells. </w:t>
      </w:r>
      <w:r>
        <w:rPr>
          <w:i/>
          <w:iCs/>
          <w:sz w:val="20"/>
          <w:szCs w:val="20"/>
          <w:shd w:val="clear" w:color="auto" w:fill="FFFFFF"/>
        </w:rPr>
        <w:t>Physical Chemistry Chemical Physics</w:t>
      </w:r>
      <w:r>
        <w:rPr>
          <w:sz w:val="20"/>
          <w:szCs w:val="20"/>
          <w:shd w:val="clear" w:color="auto" w:fill="FFFFFF"/>
        </w:rPr>
        <w:t>, </w:t>
      </w:r>
      <w:r>
        <w:rPr>
          <w:i/>
          <w:iCs/>
          <w:sz w:val="20"/>
          <w:szCs w:val="20"/>
          <w:shd w:val="clear" w:color="auto" w:fill="FFFFFF"/>
        </w:rPr>
        <w:t>15</w:t>
      </w:r>
      <w:r>
        <w:rPr>
          <w:sz w:val="20"/>
          <w:szCs w:val="20"/>
          <w:shd w:val="clear" w:color="auto" w:fill="FFFFFF"/>
        </w:rPr>
        <w:t>(2), 634-641.</w:t>
      </w:r>
    </w:p>
    <w:p w14:paraId="687703C0">
      <w:pPr>
        <w:jc w:val="both"/>
        <w:rPr>
          <w:sz w:val="20"/>
          <w:szCs w:val="20"/>
        </w:rPr>
      </w:pPr>
    </w:p>
    <w:p w14:paraId="36B4D9DF">
      <w:pPr>
        <w:jc w:val="both"/>
        <w:rPr>
          <w:sz w:val="20"/>
          <w:szCs w:val="20"/>
        </w:rPr>
      </w:pPr>
      <w:r>
        <w:rPr>
          <w:sz w:val="20"/>
          <w:szCs w:val="20"/>
          <w:shd w:val="clear" w:color="auto" w:fill="FFFFFF"/>
        </w:rPr>
        <w:t>Zhang, P., Li, A., &amp; Gong, J. (2015). Hollow spherical titanium dioxide nanoparticles for energy and environmental applications. </w:t>
      </w:r>
      <w:r>
        <w:rPr>
          <w:i/>
          <w:iCs/>
          <w:sz w:val="20"/>
          <w:szCs w:val="20"/>
          <w:shd w:val="clear" w:color="auto" w:fill="FFFFFF"/>
        </w:rPr>
        <w:t>Particuology</w:t>
      </w:r>
      <w:r>
        <w:rPr>
          <w:sz w:val="20"/>
          <w:szCs w:val="20"/>
          <w:shd w:val="clear" w:color="auto" w:fill="FFFFFF"/>
        </w:rPr>
        <w:t>, </w:t>
      </w:r>
      <w:r>
        <w:rPr>
          <w:i/>
          <w:iCs/>
          <w:sz w:val="20"/>
          <w:szCs w:val="20"/>
          <w:shd w:val="clear" w:color="auto" w:fill="FFFFFF"/>
        </w:rPr>
        <w:t>22</w:t>
      </w:r>
      <w:r>
        <w:rPr>
          <w:sz w:val="20"/>
          <w:szCs w:val="20"/>
          <w:shd w:val="clear" w:color="auto" w:fill="FFFFFF"/>
        </w:rPr>
        <w:t>, 13-23.</w:t>
      </w:r>
    </w:p>
    <w:p w14:paraId="345F3EE0">
      <w:pPr>
        <w:jc w:val="both"/>
        <w:rPr>
          <w:sz w:val="20"/>
          <w:szCs w:val="20"/>
        </w:rPr>
      </w:pPr>
    </w:p>
    <w:p w14:paraId="57325B43">
      <w:pPr>
        <w:jc w:val="both"/>
        <w:rPr>
          <w:sz w:val="20"/>
          <w:szCs w:val="20"/>
        </w:rPr>
      </w:pPr>
      <w:r>
        <w:rPr>
          <w:sz w:val="20"/>
          <w:szCs w:val="20"/>
          <w:shd w:val="clear" w:color="auto" w:fill="FFFFFF"/>
        </w:rPr>
        <w:t>Zhang, Y., &amp; Yan, J. (2023). Recent advances in the synthesis of defective TiO2 nanofibers and their applications in energy and catalysis. </w:t>
      </w:r>
      <w:r>
        <w:rPr>
          <w:i/>
          <w:iCs/>
          <w:sz w:val="20"/>
          <w:szCs w:val="20"/>
          <w:shd w:val="clear" w:color="auto" w:fill="FFFFFF"/>
        </w:rPr>
        <w:t>Chemical Engineering Journal</w:t>
      </w:r>
      <w:r>
        <w:rPr>
          <w:sz w:val="20"/>
          <w:szCs w:val="20"/>
          <w:shd w:val="clear" w:color="auto" w:fill="FFFFFF"/>
        </w:rPr>
        <w:t>, 144831.</w:t>
      </w:r>
    </w:p>
    <w:p w14:paraId="642278C8">
      <w:pPr>
        <w:jc w:val="both"/>
        <w:rPr>
          <w:sz w:val="20"/>
          <w:szCs w:val="20"/>
        </w:rPr>
      </w:pPr>
    </w:p>
    <w:p w14:paraId="42D36EAE">
      <w:pPr>
        <w:jc w:val="both"/>
        <w:rPr>
          <w:sz w:val="20"/>
          <w:szCs w:val="20"/>
        </w:rPr>
      </w:pPr>
      <w:r>
        <w:rPr>
          <w:sz w:val="20"/>
          <w:szCs w:val="20"/>
          <w:shd w:val="clear" w:color="auto" w:fill="FFFFFF"/>
        </w:rPr>
        <w:t>Zhao, X., Wei, J., Song, T., Wang, Z., Yang, D., Zhang, X., ... &amp; Xiong, H. M. (2024). Computational insights into carbon dots: Evolution of structural models and structure–activity relationships. </w:t>
      </w:r>
      <w:r>
        <w:rPr>
          <w:i/>
          <w:iCs/>
          <w:sz w:val="20"/>
          <w:szCs w:val="20"/>
          <w:shd w:val="clear" w:color="auto" w:fill="FFFFFF"/>
        </w:rPr>
        <w:t>Chemical Engineering Journal</w:t>
      </w:r>
      <w:r>
        <w:rPr>
          <w:sz w:val="20"/>
          <w:szCs w:val="20"/>
          <w:shd w:val="clear" w:color="auto" w:fill="FFFFFF"/>
        </w:rPr>
        <w:t>, 148779.</w:t>
      </w:r>
    </w:p>
    <w:p w14:paraId="5F875330">
      <w:pPr>
        <w:jc w:val="both"/>
        <w:rPr>
          <w:sz w:val="20"/>
          <w:szCs w:val="20"/>
        </w:rPr>
      </w:pPr>
    </w:p>
    <w:p w14:paraId="155D366B">
      <w:pPr>
        <w:jc w:val="both"/>
        <w:rPr>
          <w:sz w:val="20"/>
          <w:szCs w:val="20"/>
          <w:shd w:val="clear" w:color="auto" w:fill="FFFFFF"/>
        </w:rPr>
      </w:pPr>
      <w:r>
        <w:rPr>
          <w:sz w:val="20"/>
          <w:szCs w:val="20"/>
          <w:shd w:val="clear" w:color="auto" w:fill="FFFFFF"/>
        </w:rPr>
        <w:t>Zhou, H., Lee, H. J., Masud, Aftabuzzaman, M., Kang, S. H., Kim, C. H., ... &amp; Kim, H. K. (2023). Synergistic Effect of Size-Tailored Structural Engineering and Postinterface Modification for Highly Efficient and Stable Dye-Sensitized Solar Cells. </w:t>
      </w:r>
      <w:r>
        <w:rPr>
          <w:i/>
          <w:iCs/>
          <w:sz w:val="20"/>
          <w:szCs w:val="20"/>
          <w:shd w:val="clear" w:color="auto" w:fill="FFFFFF"/>
        </w:rPr>
        <w:t>ACS Applied Materials &amp; Interfaces</w:t>
      </w:r>
      <w:r>
        <w:rPr>
          <w:sz w:val="20"/>
          <w:szCs w:val="20"/>
          <w:shd w:val="clear" w:color="auto" w:fill="FFFFFF"/>
        </w:rPr>
        <w:t>, </w:t>
      </w:r>
      <w:r>
        <w:rPr>
          <w:i/>
          <w:iCs/>
          <w:sz w:val="20"/>
          <w:szCs w:val="20"/>
          <w:shd w:val="clear" w:color="auto" w:fill="FFFFFF"/>
        </w:rPr>
        <w:t>15</w:t>
      </w:r>
      <w:r>
        <w:rPr>
          <w:sz w:val="20"/>
          <w:szCs w:val="20"/>
          <w:shd w:val="clear" w:color="auto" w:fill="FFFFFF"/>
        </w:rPr>
        <w:t>(37), 43835-43844.</w:t>
      </w:r>
    </w:p>
    <w:p w14:paraId="45DE2D8C">
      <w:pPr>
        <w:jc w:val="both"/>
        <w:rPr>
          <w:sz w:val="20"/>
          <w:szCs w:val="20"/>
        </w:rPr>
      </w:pPr>
    </w:p>
    <w:p w14:paraId="23592030">
      <w:pPr>
        <w:jc w:val="both"/>
        <w:rPr>
          <w:bCs/>
          <w:sz w:val="20"/>
          <w:szCs w:val="20"/>
        </w:rPr>
      </w:pPr>
      <w:r>
        <w:rPr>
          <w:sz w:val="20"/>
          <w:szCs w:val="20"/>
          <w:shd w:val="clear" w:color="auto" w:fill="FFFFFF"/>
        </w:rPr>
        <w:t>Zhu, T., &amp; Chong, M. N. (2015). Prospects of metal–insulator–semiconductor (MIS) nanojunction structures for enhanced hydrogen evolution in photoelectrochemical cells: a review. </w:t>
      </w:r>
      <w:r>
        <w:rPr>
          <w:i/>
          <w:iCs/>
          <w:sz w:val="20"/>
          <w:szCs w:val="20"/>
          <w:shd w:val="clear" w:color="auto" w:fill="FFFFFF"/>
        </w:rPr>
        <w:t>Nano Energy</w:t>
      </w:r>
      <w:r>
        <w:rPr>
          <w:sz w:val="20"/>
          <w:szCs w:val="20"/>
          <w:shd w:val="clear" w:color="auto" w:fill="FFFFFF"/>
        </w:rPr>
        <w:t>, </w:t>
      </w:r>
      <w:r>
        <w:rPr>
          <w:i/>
          <w:iCs/>
          <w:sz w:val="20"/>
          <w:szCs w:val="20"/>
          <w:shd w:val="clear" w:color="auto" w:fill="FFFFFF"/>
        </w:rPr>
        <w:t>12</w:t>
      </w:r>
      <w:r>
        <w:rPr>
          <w:sz w:val="20"/>
          <w:szCs w:val="20"/>
          <w:shd w:val="clear" w:color="auto" w:fill="FFFFFF"/>
        </w:rPr>
        <w:t>, 347-373.</w:t>
      </w:r>
    </w:p>
    <w:p w14:paraId="4A8E32A8">
      <w:pPr>
        <w:jc w:val="both"/>
      </w:pPr>
    </w:p>
    <w:p w14:paraId="7D3D19EB">
      <w:pPr>
        <w:jc w:val="both"/>
        <w:rPr>
          <w:color w:val="C55A11" w:themeColor="accent2" w:themeShade="BF"/>
        </w:rPr>
        <w:sectPr>
          <w:type w:val="continuous"/>
          <w:pgSz w:w="12240" w:h="15840"/>
          <w:pgMar w:top="1440" w:right="1440" w:bottom="1440" w:left="1440" w:header="720" w:footer="720" w:gutter="0"/>
          <w:cols w:space="227" w:num="2"/>
          <w:docGrid w:linePitch="299" w:charSpace="0"/>
        </w:sectPr>
      </w:pPr>
    </w:p>
    <w:p w14:paraId="0957F481">
      <w:r>
        <mc:AlternateContent>
          <mc:Choice Requires="wps">
            <w:drawing>
              <wp:anchor distT="0" distB="0" distL="114300" distR="114300" simplePos="0" relativeHeight="251697152" behindDoc="0" locked="0" layoutInCell="1" allowOverlap="1">
                <wp:simplePos x="0" y="0"/>
                <wp:positionH relativeFrom="margin">
                  <wp:posOffset>5880100</wp:posOffset>
                </wp:positionH>
                <wp:positionV relativeFrom="paragraph">
                  <wp:posOffset>6101715</wp:posOffset>
                </wp:positionV>
                <wp:extent cx="495300" cy="316230"/>
                <wp:effectExtent l="0" t="0" r="0" b="0"/>
                <wp:wrapNone/>
                <wp:docPr id="798315773" name="Text Box 3"/>
                <wp:cNvGraphicFramePr/>
                <a:graphic xmlns:a="http://schemas.openxmlformats.org/drawingml/2006/main">
                  <a:graphicData uri="http://schemas.microsoft.com/office/word/2010/wordprocessingShape">
                    <wps:wsp>
                      <wps:cNvSpPr txBox="1"/>
                      <wps:spPr>
                        <a:xfrm>
                          <a:off x="0" y="0"/>
                          <a:ext cx="495300" cy="316219"/>
                        </a:xfrm>
                        <a:prstGeom prst="rect">
                          <a:avLst/>
                        </a:prstGeom>
                        <a:noFill/>
                        <a:ln w="6350">
                          <a:noFill/>
                        </a:ln>
                      </wps:spPr>
                      <wps:txbx>
                        <w:txbxContent>
                          <w:p w14:paraId="2591C59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463pt;margin-top:480.45pt;height:24.9pt;width:39pt;mso-position-horizontal-relative:margin;z-index:251697152;mso-width-relative:page;mso-height-relative:page;" filled="f" stroked="f" coordsize="21600,21600" o:gfxdata="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oFdJrcAAAADQEAAA8AAAAAAAAAAQAgAAAAIgAAAGRycy9kb3ducmV2&#10;LnhtbFBLAQIUABQAAAAIAIdO4kAxs0+jMQIAAGwEAAAOAAAAAAAAAAEAIAAAACsBAABkcnMvZTJv&#10;RG9jLnhtbFBLBQYAAAAABgAGAFkBAADOBQAAAAA=&#10;">
                <v:fill on="f" focussize="0,0"/>
                <v:stroke on="f" weight="0.5pt"/>
                <v:imagedata o:title=""/>
                <o:lock v:ext="edit" aspectratio="f"/>
                <v:textbox>
                  <w:txbxContent>
                    <w:p w14:paraId="2591C597">
                      <w:pPr>
                        <w:jc w:val="center"/>
                        <w:rPr>
                          <w:color w:val="595959" w:themeColor="text1" w:themeTint="A6"/>
                          <w14:textFill>
                            <w14:solidFill>
                              <w14:schemeClr w14:val="tx1">
                                <w14:lumMod w14:val="65000"/>
                                <w14:lumOff w14:val="35000"/>
                              </w14:schemeClr>
                            </w14:solidFill>
                          </w14:textFill>
                        </w:rPr>
                      </w:pPr>
                      <w:r>
                        <w:rPr>
                          <w:color w:val="595959" w:themeColor="text1" w:themeTint="A6"/>
                          <w14:textFill>
                            <w14:solidFill>
                              <w14:schemeClr w14:val="tx1">
                                <w14:lumMod w14:val="65000"/>
                                <w14:lumOff w14:val="35000"/>
                              </w14:schemeClr>
                            </w14:solidFill>
                          </w14:textFill>
                        </w:rPr>
                        <w:t>296</w:t>
                      </w:r>
                    </w:p>
                  </w:txbxContent>
                </v:textbox>
              </v:shape>
            </w:pict>
          </mc:Fallback>
        </mc:AlternateContent>
      </w:r>
    </w:p>
    <w:sectPr>
      <w:type w:val="continuous"/>
      <w:pgSz w:w="12240" w:h="15840"/>
      <w:pgMar w:top="1440" w:right="1440" w:bottom="1440" w:left="1440" w:header="720" w:footer="720" w:gutter="0"/>
      <w:cols w:space="227"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3B9B3">
    <w:pPr>
      <w:pStyle w:val="21"/>
    </w:pPr>
    <w:r>
      <mc:AlternateContent>
        <mc:Choice Requires="wps">
          <w:drawing>
            <wp:anchor distT="0" distB="0" distL="114300" distR="114300" simplePos="0" relativeHeight="251664384" behindDoc="0" locked="0" layoutInCell="1" allowOverlap="1">
              <wp:simplePos x="0" y="0"/>
              <wp:positionH relativeFrom="column">
                <wp:posOffset>5930265</wp:posOffset>
              </wp:positionH>
              <wp:positionV relativeFrom="paragraph">
                <wp:posOffset>17145</wp:posOffset>
              </wp:positionV>
              <wp:extent cx="899795" cy="273685"/>
              <wp:effectExtent l="0" t="0" r="14605" b="12065"/>
              <wp:wrapNone/>
              <wp:docPr id="583239518" name="Freeform 66"/>
              <wp:cNvGraphicFramePr/>
              <a:graphic xmlns:a="http://schemas.openxmlformats.org/drawingml/2006/main">
                <a:graphicData uri="http://schemas.microsoft.com/office/word/2010/wordprocessingShape">
                  <wps:wsp>
                    <wps:cNvSpPr/>
                    <wps:spPr bwMode="auto">
                      <a:xfrm>
                        <a:off x="0" y="0"/>
                        <a:ext cx="899795" cy="273685"/>
                      </a:xfrm>
                      <a:custGeom>
                        <a:avLst/>
                        <a:gdLst>
                          <a:gd name="T0" fmla="+- 0 12209 10792"/>
                          <a:gd name="T1" fmla="*/ T0 w 1417"/>
                          <a:gd name="T2" fmla="+- 0 14760 14760"/>
                          <a:gd name="T3" fmla="*/ 14760 h 340"/>
                          <a:gd name="T4" fmla="+- 0 11401 10792"/>
                          <a:gd name="T5" fmla="*/ T4 w 1417"/>
                          <a:gd name="T6" fmla="+- 0 14760 14760"/>
                          <a:gd name="T7" fmla="*/ 14760 h 340"/>
                          <a:gd name="T8" fmla="+- 0 11401 10792"/>
                          <a:gd name="T9" fmla="*/ T8 w 1417"/>
                          <a:gd name="T10" fmla="+- 0 15100 14760"/>
                          <a:gd name="T11" fmla="*/ 15100 h 340"/>
                          <a:gd name="T12" fmla="+- 0 10792 10792"/>
                          <a:gd name="T13" fmla="*/ T12 w 1417"/>
                          <a:gd name="T14" fmla="+- 0 15100 14760"/>
                          <a:gd name="T15" fmla="*/ 15100 h 340"/>
                        </a:gdLst>
                        <a:ahLst/>
                        <a:cxnLst>
                          <a:cxn ang="0">
                            <a:pos x="T1" y="T3"/>
                          </a:cxn>
                          <a:cxn ang="0">
                            <a:pos x="T5" y="T7"/>
                          </a:cxn>
                          <a:cxn ang="0">
                            <a:pos x="T9" y="T11"/>
                          </a:cxn>
                          <a:cxn ang="0">
                            <a:pos x="T13" y="T15"/>
                          </a:cxn>
                        </a:cxnLst>
                        <a:rect l="0" t="0" r="r" b="b"/>
                        <a:pathLst>
                          <a:path w="1417" h="340">
                            <a:moveTo>
                              <a:pt x="1417" y="0"/>
                            </a:moveTo>
                            <a:lnTo>
                              <a:pt x="609" y="0"/>
                            </a:lnTo>
                            <a:lnTo>
                              <a:pt x="609" y="340"/>
                            </a:lnTo>
                            <a:lnTo>
                              <a:pt x="0" y="340"/>
                            </a:lnTo>
                          </a:path>
                        </a:pathLst>
                      </a:custGeom>
                      <a:noFill/>
                      <a:ln w="9525">
                        <a:solidFill>
                          <a:srgbClr val="C55A11"/>
                        </a:solidFill>
                        <a:round/>
                      </a:ln>
                    </wps:spPr>
                    <wps:txbx>
                      <w:txbxContent>
                        <w:p w14:paraId="719A6A1C">
                          <w:pPr>
                            <w:jc w:val="center"/>
                          </w:pPr>
                        </w:p>
                      </w:txbxContent>
                    </wps:txbx>
                    <wps:bodyPr rot="0" vert="horz" wrap="square" lIns="91440" tIns="45720" rIns="91440" bIns="45720" anchor="t" anchorCtr="0" upright="1">
                      <a:noAutofit/>
                    </wps:bodyPr>
                  </wps:wsp>
                </a:graphicData>
              </a:graphic>
            </wp:anchor>
          </w:drawing>
        </mc:Choice>
        <mc:Fallback>
          <w:pict>
            <v:shape id="Freeform 66" o:spid="_x0000_s1026" o:spt="100" style="position:absolute;left:0pt;margin-left:466.95pt;margin-top:1.35pt;height:21.55pt;width:70.85pt;z-index:251664384;mso-width-relative:page;mso-height-relative:page;" filled="f" stroked="t" coordsize="1417,340" o:gfxdata="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OILX47ZAAAACQEAAA8AAAAAAAAAAQAgAAAAIgAAAGRycy9kb3ducmV2LnhtbFBL&#10;AQIUABQAAAAIAIdO4kCZMsvtSwMAAHMIAAAOAAAAAAAAAAEAIAAAACgBAABkcnMvZTJvRG9jLnht&#10;bFBLBQYAAAAABgAGAFkBAADlBgAAAAA=&#10;" path="m1417,0l609,0,609,340,0,340e">
              <v:path textboxrect="0,0,1417,340" o:connectlocs="899795,11881148;386715,11881148;386715,12154833;0,12154833" o:connectangles="0,0,0,0"/>
              <v:fill on="f" focussize="0,0"/>
              <v:stroke color="#C55A11" joinstyle="round"/>
              <v:imagedata o:title=""/>
              <o:lock v:ext="edit" aspectratio="f"/>
              <v:textbox>
                <w:txbxContent>
                  <w:p w14:paraId="719A6A1C">
                    <w:pPr>
                      <w:jc w:val="cente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-906145</wp:posOffset>
              </wp:positionH>
              <wp:positionV relativeFrom="paragraph">
                <wp:posOffset>17145</wp:posOffset>
              </wp:positionV>
              <wp:extent cx="6853555" cy="273685"/>
              <wp:effectExtent l="0" t="0" r="23495" b="12065"/>
              <wp:wrapNone/>
              <wp:docPr id="2079929291" name="Freeform 67"/>
              <wp:cNvGraphicFramePr/>
              <a:graphic xmlns:a="http://schemas.openxmlformats.org/drawingml/2006/main">
                <a:graphicData uri="http://schemas.microsoft.com/office/word/2010/wordprocessingShape">
                  <wps:wsp>
                    <wps:cNvSpPr/>
                    <wps:spPr bwMode="auto">
                      <a:xfrm>
                        <a:off x="0" y="0"/>
                        <a:ext cx="6853555" cy="273685"/>
                      </a:xfrm>
                      <a:custGeom>
                        <a:avLst/>
                        <a:gdLst>
                          <a:gd name="T0" fmla="*/ 0 w 10793"/>
                          <a:gd name="T1" fmla="+- 0 14760 14760"/>
                          <a:gd name="T2" fmla="*/ 14760 h 340"/>
                          <a:gd name="T3" fmla="*/ 10769 w 10793"/>
                          <a:gd name="T4" fmla="+- 0 14760 14760"/>
                          <a:gd name="T5" fmla="*/ 14760 h 340"/>
                          <a:gd name="T6" fmla="*/ 10769 w 10793"/>
                          <a:gd name="T7" fmla="+- 0 15100 14760"/>
                          <a:gd name="T8" fmla="*/ 15100 h 340"/>
                          <a:gd name="T9" fmla="*/ 10792 w 10793"/>
                          <a:gd name="T10" fmla="+- 0 15100 14760"/>
                          <a:gd name="T11" fmla="*/ 15100 h 340"/>
                        </a:gdLst>
                        <a:ahLst/>
                        <a:cxnLst>
                          <a:cxn ang="0">
                            <a:pos x="T0" y="T2"/>
                          </a:cxn>
                          <a:cxn ang="0">
                            <a:pos x="T3" y="T5"/>
                          </a:cxn>
                          <a:cxn ang="0">
                            <a:pos x="T6" y="T8"/>
                          </a:cxn>
                          <a:cxn ang="0">
                            <a:pos x="T9" y="T11"/>
                          </a:cxn>
                        </a:cxnLst>
                        <a:rect l="0" t="0" r="r" b="b"/>
                        <a:pathLst>
                          <a:path w="10793" h="340">
                            <a:moveTo>
                              <a:pt x="0" y="0"/>
                            </a:moveTo>
                            <a:lnTo>
                              <a:pt x="10769" y="0"/>
                            </a:lnTo>
                            <a:lnTo>
                              <a:pt x="10769" y="340"/>
                            </a:lnTo>
                            <a:lnTo>
                              <a:pt x="10792" y="340"/>
                            </a:lnTo>
                          </a:path>
                        </a:pathLst>
                      </a:custGeom>
                      <a:noFill/>
                      <a:ln w="9525">
                        <a:solidFill>
                          <a:srgbClr val="C55A11"/>
                        </a:solidFill>
                        <a:round/>
                      </a:ln>
                    </wps:spPr>
                    <wps:bodyPr rot="0" vert="horz" wrap="square" lIns="91440" tIns="45720" rIns="91440" bIns="45720" anchor="t" anchorCtr="0" upright="1">
                      <a:noAutofit/>
                    </wps:bodyPr>
                  </wps:wsp>
                </a:graphicData>
              </a:graphic>
            </wp:anchor>
          </w:drawing>
        </mc:Choice>
        <mc:Fallback>
          <w:pict>
            <v:shape id="Freeform 67" o:spid="_x0000_s1026" o:spt="100" style="position:absolute;left:0pt;margin-left:-71.35pt;margin-top:1.35pt;height:21.55pt;width:539.65pt;z-index:251665408;mso-width-relative:page;mso-height-relative:page;" filled="f" stroked="t" coordsize="10793,340" o:gfxdata="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3GEgAtkAAAAJAQAADwAAAAAAAAABACAAAAAiAAAAZHJzL2Rvd25yZXYu&#10;eG1sUEsBAhQAFAAAAAgAh07iQIiEYX8XAwAA0QcAAA4AAAAAAAAAAQAgAAAAKAEAAGRycy9lMm9E&#10;b2MueG1sUEsFBgAAAAAGAAYAWQEAALEGAAAAAA==&#10;" path="m0,0l10769,0,10769,340,10792,340e">
              <v:path o:connectlocs="0,11881148;6838315,11881148;6838315,12154833;6852920,12154833" o:connectangles="0,0,0,0"/>
              <v:fill on="f" focussize="0,0"/>
              <v:stroke color="#C55A11" joinstyle="round"/>
              <v:imagedata o:title=""/>
              <o:lock v:ext="edit" aspectratio="f"/>
            </v:shape>
          </w:pict>
        </mc:Fallback>
      </mc:AlternateContent>
    </w:r>
  </w:p>
  <w:p w14:paraId="62E20209">
    <w:pPr>
      <w:pStyle w:val="14"/>
      <w:tabs>
        <w:tab w:val="left" w:pos="2811"/>
      </w:tabs>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EED48">
    <w:pPr>
      <w:pStyle w:val="14"/>
      <w:spacing w:line="14" w:lineRule="auto"/>
    </w:pPr>
    <w:r>
      <w:rPr>
        <w:lang w:val="en-MY" w:eastAsia="en-MY"/>
      </w:rPr>
      <mc:AlternateContent>
        <mc:Choice Requires="wps">
          <w:drawing>
            <wp:anchor distT="0" distB="0" distL="114300" distR="114300" simplePos="0" relativeHeight="251663360" behindDoc="1" locked="0" layoutInCell="1" allowOverlap="1">
              <wp:simplePos x="0" y="0"/>
              <wp:positionH relativeFrom="page">
                <wp:posOffset>5378450</wp:posOffset>
              </wp:positionH>
              <wp:positionV relativeFrom="page">
                <wp:posOffset>660400</wp:posOffset>
              </wp:positionV>
              <wp:extent cx="1589405" cy="178435"/>
              <wp:effectExtent l="0" t="0" r="10795" b="12065"/>
              <wp:wrapNone/>
              <wp:docPr id="1804908339" name="Text Box 6"/>
              <wp:cNvGraphicFramePr/>
              <a:graphic xmlns:a="http://schemas.openxmlformats.org/drawingml/2006/main">
                <a:graphicData uri="http://schemas.microsoft.com/office/word/2010/wordprocessingShape">
                  <wps:wsp>
                    <wps:cNvSpPr txBox="1">
                      <a:spLocks noChangeArrowheads="1"/>
                    </wps:cNvSpPr>
                    <wps:spPr bwMode="auto">
                      <a:xfrm>
                        <a:off x="0" y="0"/>
                        <a:ext cx="1589405" cy="178435"/>
                      </a:xfrm>
                      <a:prstGeom prst="rect">
                        <a:avLst/>
                      </a:prstGeom>
                      <a:noFill/>
                      <a:ln>
                        <a:noFill/>
                      </a:ln>
                    </wps:spPr>
                    <wps:txbx>
                      <w:txbxContent>
                        <w:p w14:paraId="17A5E6EF">
                          <w:pPr>
                            <w:spacing w:before="10"/>
                            <w:ind w:left="20"/>
                            <w:rPr>
                              <w:b/>
                              <w:sz w:val="20"/>
                            </w:rPr>
                          </w:pPr>
                          <w:r>
                            <w:rPr>
                              <w:b/>
                              <w:sz w:val="20"/>
                            </w:rPr>
                            <w:t>JOBASR2026</w:t>
                          </w:r>
                          <w:r>
                            <w:rPr>
                              <w:b/>
                              <w:spacing w:val="1"/>
                              <w:sz w:val="20"/>
                            </w:rPr>
                            <w:t xml:space="preserve"> </w:t>
                          </w:r>
                          <w:r>
                            <w:rPr>
                              <w:b/>
                              <w:sz w:val="20"/>
                            </w:rPr>
                            <w:t>4(3):</w:t>
                          </w:r>
                          <w:r>
                            <w:rPr>
                              <w:b/>
                              <w:spacing w:val="-2"/>
                              <w:sz w:val="20"/>
                            </w:rPr>
                            <w:t xml:space="preserve"> 267</w:t>
                          </w:r>
                          <w:r>
                            <w:rPr>
                              <w:b/>
                              <w:sz w:val="20"/>
                            </w:rPr>
                            <w:t>-296</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423.5pt;margin-top:52pt;height:14.05pt;width:125.15pt;mso-position-horizontal-relative:page;mso-position-vertical-relative:page;z-index:-251653120;mso-width-relative:page;mso-height-relative:page;" filled="f" stroked="f" coordsize="21600,21600" o:gfxdata="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Vq2X/aAAAADAEAAA8AAAAAAAAAAQAgAAAAIgAA&#10;AGRycy9kb3ducmV2LnhtbFBLAQIUABQAAAAIAIdO4kDFUf+VBgIAAA0EAAAOAAAAAAAAAAEAIAAA&#10;ACkBAABkcnMvZTJvRG9jLnhtbFBLBQYAAAAABgAGAFkBAAChBQAAAAA=&#10;">
              <v:fill on="f" focussize="0,0"/>
              <v:stroke on="f"/>
              <v:imagedata o:title=""/>
              <o:lock v:ext="edit" aspectratio="f"/>
              <v:textbox inset="0mm,0mm,0mm,0mm">
                <w:txbxContent>
                  <w:p w14:paraId="17A5E6EF">
                    <w:pPr>
                      <w:spacing w:before="10"/>
                      <w:ind w:left="20"/>
                      <w:rPr>
                        <w:b/>
                        <w:sz w:val="20"/>
                      </w:rPr>
                    </w:pPr>
                    <w:r>
                      <w:rPr>
                        <w:b/>
                        <w:sz w:val="20"/>
                      </w:rPr>
                      <w:t>JOBASR2026</w:t>
                    </w:r>
                    <w:r>
                      <w:rPr>
                        <w:b/>
                        <w:spacing w:val="1"/>
                        <w:sz w:val="20"/>
                      </w:rPr>
                      <w:t xml:space="preserve"> </w:t>
                    </w:r>
                    <w:r>
                      <w:rPr>
                        <w:b/>
                        <w:sz w:val="20"/>
                      </w:rPr>
                      <w:t>4(3):</w:t>
                    </w:r>
                    <w:r>
                      <w:rPr>
                        <w:b/>
                        <w:spacing w:val="-2"/>
                        <w:sz w:val="20"/>
                      </w:rPr>
                      <w:t xml:space="preserve"> 267</w:t>
                    </w:r>
                    <w:r>
                      <w:rPr>
                        <w:b/>
                        <w:sz w:val="20"/>
                      </w:rPr>
                      <w:t>-296</w:t>
                    </w:r>
                  </w:p>
                </w:txbxContent>
              </v:textbox>
            </v:shape>
          </w:pict>
        </mc:Fallback>
      </mc:AlternateContent>
    </w:r>
    <w:r>
      <w:rPr>
        <w:lang w:val="en-MY" w:eastAsia="en-MY"/>
      </w:rPr>
      <mc:AlternateContent>
        <mc:Choice Requires="wps">
          <w:drawing>
            <wp:anchor distT="0" distB="0" distL="114300" distR="114300" simplePos="0" relativeHeight="251662336" behindDoc="1" locked="0" layoutInCell="1" allowOverlap="1">
              <wp:simplePos x="0" y="0"/>
              <wp:positionH relativeFrom="page">
                <wp:posOffset>3416300</wp:posOffset>
              </wp:positionH>
              <wp:positionV relativeFrom="page">
                <wp:posOffset>660400</wp:posOffset>
              </wp:positionV>
              <wp:extent cx="1168400" cy="178435"/>
              <wp:effectExtent l="0" t="0" r="12700" b="12065"/>
              <wp:wrapNone/>
              <wp:docPr id="951337200" name="Text Box 7"/>
              <wp:cNvGraphicFramePr/>
              <a:graphic xmlns:a="http://schemas.openxmlformats.org/drawingml/2006/main">
                <a:graphicData uri="http://schemas.microsoft.com/office/word/2010/wordprocessingShape">
                  <wps:wsp>
                    <wps:cNvSpPr txBox="1">
                      <a:spLocks noChangeArrowheads="1"/>
                    </wps:cNvSpPr>
                    <wps:spPr bwMode="auto">
                      <a:xfrm>
                        <a:off x="0" y="0"/>
                        <a:ext cx="1168400" cy="178435"/>
                      </a:xfrm>
                      <a:prstGeom prst="rect">
                        <a:avLst/>
                      </a:prstGeom>
                      <a:noFill/>
                      <a:ln>
                        <a:noFill/>
                      </a:ln>
                    </wps:spPr>
                    <wps:txbx>
                      <w:txbxContent>
                        <w:p w14:paraId="60EAB622">
                          <w:pPr>
                            <w:jc w:val="center"/>
                            <w:rPr>
                              <w:b/>
                              <w:bCs/>
                              <w:color w:val="000000" w:themeColor="text1"/>
                              <w:sz w:val="20"/>
                              <w:szCs w:val="20"/>
                              <w14:textFill>
                                <w14:solidFill>
                                  <w14:schemeClr w14:val="tx1"/>
                                </w14:solidFill>
                              </w14:textFill>
                            </w:rPr>
                          </w:pPr>
                          <w:r>
                            <w:rPr>
                              <w:b/>
                              <w:bCs/>
                              <w:sz w:val="20"/>
                              <w:szCs w:val="20"/>
                              <w:lang w:val="es-ES"/>
                            </w:rPr>
                            <w:t>Albashir</w:t>
                          </w:r>
                          <w:r>
                            <w:rPr>
                              <w:b/>
                              <w:sz w:val="20"/>
                              <w:szCs w:val="20"/>
                            </w:rPr>
                            <w:t xml:space="preserve"> et al.</w:t>
                          </w:r>
                        </w:p>
                        <w:p w14:paraId="4D1C454A">
                          <w:pPr>
                            <w:jc w:val="center"/>
                            <w:rPr>
                              <w:b/>
                              <w:bCs/>
                              <w:color w:val="000000" w:themeColor="text1"/>
                              <w:sz w:val="20"/>
                              <w:szCs w:val="20"/>
                              <w14:textFill>
                                <w14:solidFill>
                                  <w14:schemeClr w14:val="tx1"/>
                                </w14:solidFill>
                              </w14:textFill>
                            </w:rPr>
                          </w:pPr>
                        </w:p>
                        <w:p w14:paraId="0B2B260D">
                          <w:pPr>
                            <w:spacing w:before="10"/>
                            <w:ind w:left="20"/>
                            <w:jc w:val="center"/>
                            <w:rPr>
                              <w:b/>
                              <w:sz w:val="20"/>
                              <w:szCs w:val="20"/>
                            </w:rPr>
                          </w:pP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269pt;margin-top:52pt;height:14.05pt;width:92pt;mso-position-horizontal-relative:page;mso-position-vertical-relative:page;z-index:-251654144;mso-width-relative:page;mso-height-relative:page;" filled="f" stroked="f" coordsize="21600,21600" o:gfxdata="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WfJi2AAAAAsBAAAPAAAAAAAAAAEAIAAAACIAAABkcnMv&#10;ZG93bnJldi54bWxQSwECFAAUAAAACACHTuJA8YRRAwMCAAAMBAAADgAAAAAAAAABACAAAAAnAQAA&#10;ZHJzL2Uyb0RvYy54bWxQSwUGAAAAAAYABgBZAQAAnAUAAAAA&#10;">
              <v:fill on="f" focussize="0,0"/>
              <v:stroke on="f"/>
              <v:imagedata o:title=""/>
              <o:lock v:ext="edit" aspectratio="f"/>
              <v:textbox inset="0mm,0mm,0mm,0mm">
                <w:txbxContent>
                  <w:p w14:paraId="60EAB622">
                    <w:pPr>
                      <w:jc w:val="center"/>
                      <w:rPr>
                        <w:b/>
                        <w:bCs/>
                        <w:color w:val="000000" w:themeColor="text1"/>
                        <w:sz w:val="20"/>
                        <w:szCs w:val="20"/>
                        <w14:textFill>
                          <w14:solidFill>
                            <w14:schemeClr w14:val="tx1"/>
                          </w14:solidFill>
                        </w14:textFill>
                      </w:rPr>
                    </w:pPr>
                    <w:r>
                      <w:rPr>
                        <w:b/>
                        <w:bCs/>
                        <w:sz w:val="20"/>
                        <w:szCs w:val="20"/>
                        <w:lang w:val="es-ES"/>
                      </w:rPr>
                      <w:t>Albashir</w:t>
                    </w:r>
                    <w:r>
                      <w:rPr>
                        <w:b/>
                        <w:sz w:val="20"/>
                        <w:szCs w:val="20"/>
                      </w:rPr>
                      <w:t xml:space="preserve"> et al.</w:t>
                    </w:r>
                  </w:p>
                  <w:p w14:paraId="4D1C454A">
                    <w:pPr>
                      <w:jc w:val="center"/>
                      <w:rPr>
                        <w:b/>
                        <w:bCs/>
                        <w:color w:val="000000" w:themeColor="text1"/>
                        <w:sz w:val="20"/>
                        <w:szCs w:val="20"/>
                        <w14:textFill>
                          <w14:solidFill>
                            <w14:schemeClr w14:val="tx1"/>
                          </w14:solidFill>
                        </w14:textFill>
                      </w:rPr>
                    </w:pPr>
                  </w:p>
                  <w:p w14:paraId="0B2B260D">
                    <w:pPr>
                      <w:spacing w:before="10"/>
                      <w:ind w:left="20"/>
                      <w:jc w:val="center"/>
                      <w:rPr>
                        <w:b/>
                        <w:sz w:val="20"/>
                        <w:szCs w:val="20"/>
                      </w:rPr>
                    </w:pPr>
                  </w:p>
                </w:txbxContent>
              </v:textbox>
            </v:shape>
          </w:pict>
        </mc:Fallback>
      </mc:AlternateContent>
    </w:r>
    <w:r>
      <w:rPr>
        <w:lang w:val="en-MY" w:eastAsia="en-MY"/>
      </w:rPr>
      <mc:AlternateContent>
        <mc:Choice Requires="wps">
          <w:drawing>
            <wp:anchor distT="0" distB="0" distL="114300" distR="114300" simplePos="0" relativeHeight="251661312" behindDoc="1" locked="0" layoutInCell="1" allowOverlap="1">
              <wp:simplePos x="0" y="0"/>
              <wp:positionH relativeFrom="page">
                <wp:posOffset>933450</wp:posOffset>
              </wp:positionH>
              <wp:positionV relativeFrom="page">
                <wp:posOffset>635000</wp:posOffset>
              </wp:positionV>
              <wp:extent cx="2400300" cy="196850"/>
              <wp:effectExtent l="0" t="0" r="0" b="12700"/>
              <wp:wrapNone/>
              <wp:docPr id="570817285" name="Text Box 8"/>
              <wp:cNvGraphicFramePr/>
              <a:graphic xmlns:a="http://schemas.openxmlformats.org/drawingml/2006/main">
                <a:graphicData uri="http://schemas.microsoft.com/office/word/2010/wordprocessingShape">
                  <wps:wsp>
                    <wps:cNvSpPr txBox="1">
                      <a:spLocks noChangeArrowheads="1"/>
                    </wps:cNvSpPr>
                    <wps:spPr bwMode="auto">
                      <a:xfrm>
                        <a:off x="0" y="0"/>
                        <a:ext cx="2400300" cy="196850"/>
                      </a:xfrm>
                      <a:prstGeom prst="rect">
                        <a:avLst/>
                      </a:prstGeom>
                      <a:noFill/>
                      <a:ln>
                        <a:noFill/>
                      </a:ln>
                    </wps:spPr>
                    <wps:txbx>
                      <w:txbxContent>
                        <w:p w14:paraId="43D2F234">
                          <w:pPr>
                            <w:spacing w:before="10"/>
                            <w:rPr>
                              <w:b/>
                              <w:sz w:val="16"/>
                              <w:szCs w:val="16"/>
                            </w:rPr>
                          </w:pPr>
                          <w:r>
                            <w:rPr>
                              <w:b/>
                              <w:sz w:val="20"/>
                              <w:szCs w:val="20"/>
                            </w:rPr>
                            <w:t xml:space="preserve">Dye-sensitized Solar Cells: Recent </w:t>
                          </w:r>
                          <w:r>
                            <w:rPr>
                              <w:b/>
                              <w:bCs/>
                              <w:sz w:val="20"/>
                              <w:szCs w:val="20"/>
                            </w:rPr>
                            <w:t>…</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73.5pt;margin-top:50pt;height:15.5pt;width:189pt;mso-position-horizontal-relative:page;mso-position-vertical-relative:page;z-index:-251655168;mso-width-relative:page;mso-height-relative:page;" filled="f" stroked="f" coordsize="21600,21600" o:gfxdata="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T4HJ21gAAAAsBAAAPAAAAAAAAAAEAIAAAACIAAABkcnMv&#10;ZG93bnJldi54bWxQSwECFAAUAAAACACHTuJAUAlpMQUCAAAMBAAADgAAAAAAAAABACAAAAAlAQAA&#10;ZHJzL2Uyb0RvYy54bWxQSwUGAAAAAAYABgBZAQAAnAUAAAAA&#10;">
              <v:fill on="f" focussize="0,0"/>
              <v:stroke on="f"/>
              <v:imagedata o:title=""/>
              <o:lock v:ext="edit" aspectratio="f"/>
              <v:textbox inset="0mm,0mm,0mm,0mm">
                <w:txbxContent>
                  <w:p w14:paraId="43D2F234">
                    <w:pPr>
                      <w:spacing w:before="10"/>
                      <w:rPr>
                        <w:b/>
                        <w:sz w:val="16"/>
                        <w:szCs w:val="16"/>
                      </w:rPr>
                    </w:pPr>
                    <w:r>
                      <w:rPr>
                        <w:b/>
                        <w:sz w:val="20"/>
                        <w:szCs w:val="20"/>
                      </w:rPr>
                      <w:t xml:space="preserve">Dye-sensitized Solar Cells: Recent </w:t>
                    </w:r>
                    <w:r>
                      <w:rPr>
                        <w:b/>
                        <w:bCs/>
                        <w:sz w:val="20"/>
                        <w:szCs w:val="20"/>
                      </w:rPr>
                      <w:t>…</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450850</wp:posOffset>
              </wp:positionV>
              <wp:extent cx="2037715" cy="165735"/>
              <wp:effectExtent l="0" t="3175" r="3810" b="2540"/>
              <wp:wrapNone/>
              <wp:docPr id="1924774209"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37715" cy="165735"/>
                      </a:xfrm>
                      <a:prstGeom prst="rect">
                        <a:avLst/>
                      </a:prstGeom>
                      <a:noFill/>
                      <a:ln>
                        <a:noFill/>
                      </a:ln>
                    </wps:spPr>
                    <wps:txbx>
                      <w:txbxContent>
                        <w:p w14:paraId="554606CF"/>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71pt;margin-top:35.5pt;height:13.05pt;width:160.45pt;mso-position-horizontal-relative:page;mso-position-vertical-relative:page;z-index:-251656192;mso-width-relative:page;mso-height-relative:page;" filled="f" stroked="f" coordsize="21600,21600" o:gfxdata="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&#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crqVU2AAAAAkBAAAPAAAAAAAAAAEAIAAAACIAAABk&#10;cnMvZG93bnJldi54bWxQSwECFAAUAAAACACHTuJAOZ68gQYCAAANBAAADgAAAAAAAAABACAAAAAn&#10;AQAAZHJzL2Uyb0RvYy54bWxQSwUGAAAAAAYABgBZAQAAnwUAAAAA&#10;">
              <v:fill on="f" focussize="0,0"/>
              <v:stroke on="f"/>
              <v:imagedata o:title=""/>
              <o:lock v:ext="edit" aspectratio="f"/>
              <v:textbox inset="0mm,0mm,0mm,0mm">
                <w:txbxContent>
                  <w:p w14:paraId="554606CF"/>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7C6761"/>
    <w:multiLevelType w:val="multilevel"/>
    <w:tmpl w:val="067C676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E9C2021"/>
    <w:multiLevelType w:val="multilevel"/>
    <w:tmpl w:val="0E9C202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EFC5DB9"/>
    <w:multiLevelType w:val="multilevel"/>
    <w:tmpl w:val="1EFC5DB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FAD73B9"/>
    <w:multiLevelType w:val="multilevel"/>
    <w:tmpl w:val="1FAD73B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4385D68"/>
    <w:multiLevelType w:val="multilevel"/>
    <w:tmpl w:val="44385D6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AE91E61"/>
    <w:multiLevelType w:val="multilevel"/>
    <w:tmpl w:val="4AE91E6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8DD05BA"/>
    <w:multiLevelType w:val="multilevel"/>
    <w:tmpl w:val="78DD05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5"/>
  </w:num>
  <w:num w:numId="3">
    <w:abstractNumId w:val="1"/>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F9"/>
    <w:rsid w:val="000132BA"/>
    <w:rsid w:val="000141E5"/>
    <w:rsid w:val="00017C30"/>
    <w:rsid w:val="000229DC"/>
    <w:rsid w:val="00033113"/>
    <w:rsid w:val="0004711E"/>
    <w:rsid w:val="00047D34"/>
    <w:rsid w:val="000543F6"/>
    <w:rsid w:val="00054494"/>
    <w:rsid w:val="0005734B"/>
    <w:rsid w:val="00065577"/>
    <w:rsid w:val="0006648C"/>
    <w:rsid w:val="00066B70"/>
    <w:rsid w:val="000714DA"/>
    <w:rsid w:val="00072CE7"/>
    <w:rsid w:val="000812E6"/>
    <w:rsid w:val="000822AA"/>
    <w:rsid w:val="00093BE6"/>
    <w:rsid w:val="000A2B8A"/>
    <w:rsid w:val="000A544A"/>
    <w:rsid w:val="000A5F9D"/>
    <w:rsid w:val="000C41F4"/>
    <w:rsid w:val="000C7FB5"/>
    <w:rsid w:val="000D0F31"/>
    <w:rsid w:val="000D41E0"/>
    <w:rsid w:val="000E2789"/>
    <w:rsid w:val="000E30B1"/>
    <w:rsid w:val="000F5D00"/>
    <w:rsid w:val="000F7A14"/>
    <w:rsid w:val="0010241F"/>
    <w:rsid w:val="00122579"/>
    <w:rsid w:val="00123AE2"/>
    <w:rsid w:val="00123E5C"/>
    <w:rsid w:val="0014717A"/>
    <w:rsid w:val="001522E7"/>
    <w:rsid w:val="001563E7"/>
    <w:rsid w:val="00161477"/>
    <w:rsid w:val="00167D3B"/>
    <w:rsid w:val="00184213"/>
    <w:rsid w:val="00186F60"/>
    <w:rsid w:val="00191742"/>
    <w:rsid w:val="00191C61"/>
    <w:rsid w:val="001C7475"/>
    <w:rsid w:val="001D4517"/>
    <w:rsid w:val="001D4A60"/>
    <w:rsid w:val="001E0C4A"/>
    <w:rsid w:val="001E73A3"/>
    <w:rsid w:val="001F0C9B"/>
    <w:rsid w:val="002051C5"/>
    <w:rsid w:val="002070B6"/>
    <w:rsid w:val="002142E4"/>
    <w:rsid w:val="002164E7"/>
    <w:rsid w:val="00225BEC"/>
    <w:rsid w:val="00232534"/>
    <w:rsid w:val="0023771C"/>
    <w:rsid w:val="002521DE"/>
    <w:rsid w:val="002643E7"/>
    <w:rsid w:val="00270EAC"/>
    <w:rsid w:val="00272DD3"/>
    <w:rsid w:val="002749E2"/>
    <w:rsid w:val="00280544"/>
    <w:rsid w:val="00280717"/>
    <w:rsid w:val="00280FE7"/>
    <w:rsid w:val="00286227"/>
    <w:rsid w:val="002A2148"/>
    <w:rsid w:val="002C6430"/>
    <w:rsid w:val="00325184"/>
    <w:rsid w:val="00335EC7"/>
    <w:rsid w:val="00353A8D"/>
    <w:rsid w:val="003741C4"/>
    <w:rsid w:val="003A241F"/>
    <w:rsid w:val="003A47CE"/>
    <w:rsid w:val="003B2730"/>
    <w:rsid w:val="003B4A4B"/>
    <w:rsid w:val="003B514B"/>
    <w:rsid w:val="003D48E9"/>
    <w:rsid w:val="003E399D"/>
    <w:rsid w:val="003E5F47"/>
    <w:rsid w:val="003F4550"/>
    <w:rsid w:val="003F6CD5"/>
    <w:rsid w:val="00403D75"/>
    <w:rsid w:val="00404489"/>
    <w:rsid w:val="004056A2"/>
    <w:rsid w:val="00406479"/>
    <w:rsid w:val="0040709C"/>
    <w:rsid w:val="00416077"/>
    <w:rsid w:val="00420BD6"/>
    <w:rsid w:val="00420BE8"/>
    <w:rsid w:val="004213A3"/>
    <w:rsid w:val="00423254"/>
    <w:rsid w:val="0042357A"/>
    <w:rsid w:val="004332B5"/>
    <w:rsid w:val="00436B49"/>
    <w:rsid w:val="004531A2"/>
    <w:rsid w:val="0045548F"/>
    <w:rsid w:val="00484FF3"/>
    <w:rsid w:val="0049045A"/>
    <w:rsid w:val="00490ED6"/>
    <w:rsid w:val="0049684E"/>
    <w:rsid w:val="004977A1"/>
    <w:rsid w:val="00497828"/>
    <w:rsid w:val="004C1AD4"/>
    <w:rsid w:val="004C7156"/>
    <w:rsid w:val="004C7F69"/>
    <w:rsid w:val="004D4DC9"/>
    <w:rsid w:val="004E21C8"/>
    <w:rsid w:val="004F53F6"/>
    <w:rsid w:val="005078F6"/>
    <w:rsid w:val="00542E0A"/>
    <w:rsid w:val="00544794"/>
    <w:rsid w:val="00546722"/>
    <w:rsid w:val="00551D7E"/>
    <w:rsid w:val="005558E9"/>
    <w:rsid w:val="00560121"/>
    <w:rsid w:val="0056015D"/>
    <w:rsid w:val="00592E29"/>
    <w:rsid w:val="005A72DA"/>
    <w:rsid w:val="005B1D02"/>
    <w:rsid w:val="005B23D8"/>
    <w:rsid w:val="005B5F4A"/>
    <w:rsid w:val="005C7BB8"/>
    <w:rsid w:val="005D392D"/>
    <w:rsid w:val="005D4136"/>
    <w:rsid w:val="005D4795"/>
    <w:rsid w:val="005D4854"/>
    <w:rsid w:val="005D6883"/>
    <w:rsid w:val="005E020B"/>
    <w:rsid w:val="005E0645"/>
    <w:rsid w:val="005E0B8E"/>
    <w:rsid w:val="005E77F4"/>
    <w:rsid w:val="005F1300"/>
    <w:rsid w:val="005F2036"/>
    <w:rsid w:val="005F3105"/>
    <w:rsid w:val="005F4140"/>
    <w:rsid w:val="005F47C8"/>
    <w:rsid w:val="005F498E"/>
    <w:rsid w:val="00604BEC"/>
    <w:rsid w:val="00624407"/>
    <w:rsid w:val="00625C1B"/>
    <w:rsid w:val="0064010E"/>
    <w:rsid w:val="0064172F"/>
    <w:rsid w:val="00642859"/>
    <w:rsid w:val="00655550"/>
    <w:rsid w:val="00662C43"/>
    <w:rsid w:val="0066558E"/>
    <w:rsid w:val="006721F1"/>
    <w:rsid w:val="006752FC"/>
    <w:rsid w:val="006840A7"/>
    <w:rsid w:val="006905B9"/>
    <w:rsid w:val="00693268"/>
    <w:rsid w:val="00694E69"/>
    <w:rsid w:val="006A3E5F"/>
    <w:rsid w:val="006B1BBA"/>
    <w:rsid w:val="006B3042"/>
    <w:rsid w:val="006C4D93"/>
    <w:rsid w:val="006D3E9B"/>
    <w:rsid w:val="006D6855"/>
    <w:rsid w:val="006E52D9"/>
    <w:rsid w:val="006E56FF"/>
    <w:rsid w:val="0070321D"/>
    <w:rsid w:val="00703D24"/>
    <w:rsid w:val="007053EC"/>
    <w:rsid w:val="00706367"/>
    <w:rsid w:val="00707615"/>
    <w:rsid w:val="00717690"/>
    <w:rsid w:val="00727FBB"/>
    <w:rsid w:val="0073196E"/>
    <w:rsid w:val="00745422"/>
    <w:rsid w:val="00746C02"/>
    <w:rsid w:val="00763F39"/>
    <w:rsid w:val="00780D6A"/>
    <w:rsid w:val="00782A55"/>
    <w:rsid w:val="0078417A"/>
    <w:rsid w:val="007A4E51"/>
    <w:rsid w:val="007B6F89"/>
    <w:rsid w:val="007C5A76"/>
    <w:rsid w:val="007C679B"/>
    <w:rsid w:val="007D0FBA"/>
    <w:rsid w:val="007F4139"/>
    <w:rsid w:val="007F4460"/>
    <w:rsid w:val="007F6B40"/>
    <w:rsid w:val="00804D39"/>
    <w:rsid w:val="00805173"/>
    <w:rsid w:val="008247A7"/>
    <w:rsid w:val="00825309"/>
    <w:rsid w:val="00830233"/>
    <w:rsid w:val="008343C9"/>
    <w:rsid w:val="00835FD9"/>
    <w:rsid w:val="00844F22"/>
    <w:rsid w:val="00853BE8"/>
    <w:rsid w:val="008675E9"/>
    <w:rsid w:val="0087609F"/>
    <w:rsid w:val="00891927"/>
    <w:rsid w:val="0089383E"/>
    <w:rsid w:val="008954BD"/>
    <w:rsid w:val="008A3E4B"/>
    <w:rsid w:val="008A63D5"/>
    <w:rsid w:val="008A69E6"/>
    <w:rsid w:val="008B3D0B"/>
    <w:rsid w:val="008B53A0"/>
    <w:rsid w:val="008B73E7"/>
    <w:rsid w:val="008C50C6"/>
    <w:rsid w:val="008E168C"/>
    <w:rsid w:val="008E49BF"/>
    <w:rsid w:val="008E69D1"/>
    <w:rsid w:val="009136E1"/>
    <w:rsid w:val="00916843"/>
    <w:rsid w:val="00916ECF"/>
    <w:rsid w:val="00917538"/>
    <w:rsid w:val="00921468"/>
    <w:rsid w:val="00922530"/>
    <w:rsid w:val="00930B10"/>
    <w:rsid w:val="00951BFD"/>
    <w:rsid w:val="009527EA"/>
    <w:rsid w:val="0095697C"/>
    <w:rsid w:val="00956B68"/>
    <w:rsid w:val="009744EA"/>
    <w:rsid w:val="00985940"/>
    <w:rsid w:val="0099674F"/>
    <w:rsid w:val="009A5EC6"/>
    <w:rsid w:val="009C73CB"/>
    <w:rsid w:val="009D02B5"/>
    <w:rsid w:val="009E3E21"/>
    <w:rsid w:val="009E6D23"/>
    <w:rsid w:val="00A027CF"/>
    <w:rsid w:val="00A071FA"/>
    <w:rsid w:val="00A15E63"/>
    <w:rsid w:val="00A51E6E"/>
    <w:rsid w:val="00A55087"/>
    <w:rsid w:val="00A558B5"/>
    <w:rsid w:val="00A56D13"/>
    <w:rsid w:val="00A6631D"/>
    <w:rsid w:val="00A67A25"/>
    <w:rsid w:val="00A74EC1"/>
    <w:rsid w:val="00A75013"/>
    <w:rsid w:val="00A96E31"/>
    <w:rsid w:val="00AA5B90"/>
    <w:rsid w:val="00AA785F"/>
    <w:rsid w:val="00AB1BB8"/>
    <w:rsid w:val="00AB4325"/>
    <w:rsid w:val="00AB4FE9"/>
    <w:rsid w:val="00AB53B2"/>
    <w:rsid w:val="00AD0C2D"/>
    <w:rsid w:val="00AD658C"/>
    <w:rsid w:val="00AE0D95"/>
    <w:rsid w:val="00AE4976"/>
    <w:rsid w:val="00B13CB8"/>
    <w:rsid w:val="00B15F0A"/>
    <w:rsid w:val="00B4196D"/>
    <w:rsid w:val="00B4258C"/>
    <w:rsid w:val="00B604F2"/>
    <w:rsid w:val="00B77D17"/>
    <w:rsid w:val="00B77D1C"/>
    <w:rsid w:val="00B77D9E"/>
    <w:rsid w:val="00B815E5"/>
    <w:rsid w:val="00B848E5"/>
    <w:rsid w:val="00B93128"/>
    <w:rsid w:val="00B9427B"/>
    <w:rsid w:val="00BA4023"/>
    <w:rsid w:val="00BB5796"/>
    <w:rsid w:val="00BD7D3E"/>
    <w:rsid w:val="00C00880"/>
    <w:rsid w:val="00C035DB"/>
    <w:rsid w:val="00C07B3C"/>
    <w:rsid w:val="00C16EB8"/>
    <w:rsid w:val="00C25015"/>
    <w:rsid w:val="00C33FB7"/>
    <w:rsid w:val="00C43BA2"/>
    <w:rsid w:val="00C447A1"/>
    <w:rsid w:val="00C50D45"/>
    <w:rsid w:val="00C6223E"/>
    <w:rsid w:val="00C62DE7"/>
    <w:rsid w:val="00C64F9D"/>
    <w:rsid w:val="00C653B9"/>
    <w:rsid w:val="00C825AB"/>
    <w:rsid w:val="00C87503"/>
    <w:rsid w:val="00C8777A"/>
    <w:rsid w:val="00CA6927"/>
    <w:rsid w:val="00CC0094"/>
    <w:rsid w:val="00CC02EC"/>
    <w:rsid w:val="00CC4D89"/>
    <w:rsid w:val="00CD15A9"/>
    <w:rsid w:val="00CD28D4"/>
    <w:rsid w:val="00CD5D92"/>
    <w:rsid w:val="00CE7CED"/>
    <w:rsid w:val="00CF00A2"/>
    <w:rsid w:val="00D00132"/>
    <w:rsid w:val="00D03477"/>
    <w:rsid w:val="00D06561"/>
    <w:rsid w:val="00D11505"/>
    <w:rsid w:val="00D13890"/>
    <w:rsid w:val="00D1426D"/>
    <w:rsid w:val="00D15B1F"/>
    <w:rsid w:val="00D3369E"/>
    <w:rsid w:val="00D4031A"/>
    <w:rsid w:val="00D41E09"/>
    <w:rsid w:val="00D46DD5"/>
    <w:rsid w:val="00D530CE"/>
    <w:rsid w:val="00D57A0B"/>
    <w:rsid w:val="00D611D6"/>
    <w:rsid w:val="00D62680"/>
    <w:rsid w:val="00D71B6C"/>
    <w:rsid w:val="00D75C06"/>
    <w:rsid w:val="00D94678"/>
    <w:rsid w:val="00D9635B"/>
    <w:rsid w:val="00DA0EB5"/>
    <w:rsid w:val="00DA3B7F"/>
    <w:rsid w:val="00DB0080"/>
    <w:rsid w:val="00DB20C5"/>
    <w:rsid w:val="00DB7A69"/>
    <w:rsid w:val="00DC1D94"/>
    <w:rsid w:val="00DC43D1"/>
    <w:rsid w:val="00DD0462"/>
    <w:rsid w:val="00DD1222"/>
    <w:rsid w:val="00DD58F2"/>
    <w:rsid w:val="00DD682C"/>
    <w:rsid w:val="00DE30F5"/>
    <w:rsid w:val="00E0092D"/>
    <w:rsid w:val="00E0784D"/>
    <w:rsid w:val="00E1116A"/>
    <w:rsid w:val="00E13B04"/>
    <w:rsid w:val="00E153F9"/>
    <w:rsid w:val="00E250B5"/>
    <w:rsid w:val="00E25764"/>
    <w:rsid w:val="00E37C2F"/>
    <w:rsid w:val="00E42AC9"/>
    <w:rsid w:val="00E44AAA"/>
    <w:rsid w:val="00E44B54"/>
    <w:rsid w:val="00E46449"/>
    <w:rsid w:val="00E53FCC"/>
    <w:rsid w:val="00E56440"/>
    <w:rsid w:val="00E675CD"/>
    <w:rsid w:val="00E76D67"/>
    <w:rsid w:val="00E84B5B"/>
    <w:rsid w:val="00E97F9C"/>
    <w:rsid w:val="00EA34F0"/>
    <w:rsid w:val="00EB0DBD"/>
    <w:rsid w:val="00EB1BAA"/>
    <w:rsid w:val="00EB461D"/>
    <w:rsid w:val="00ED2CD1"/>
    <w:rsid w:val="00EE4F84"/>
    <w:rsid w:val="00F01795"/>
    <w:rsid w:val="00F175CA"/>
    <w:rsid w:val="00F32829"/>
    <w:rsid w:val="00F36C0A"/>
    <w:rsid w:val="00F607BB"/>
    <w:rsid w:val="00F66489"/>
    <w:rsid w:val="00F978B1"/>
    <w:rsid w:val="00FA3A8B"/>
    <w:rsid w:val="00FA6ED5"/>
    <w:rsid w:val="00FA7B24"/>
    <w:rsid w:val="00FB78FB"/>
    <w:rsid w:val="00FC5511"/>
    <w:rsid w:val="00FC5B05"/>
    <w:rsid w:val="00FD5C58"/>
    <w:rsid w:val="00FE1E32"/>
    <w:rsid w:val="00FE5491"/>
    <w:rsid w:val="00FE71BD"/>
    <w:rsid w:val="3D040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spacing w:after="0" w:line="240" w:lineRule="auto"/>
    </w:pPr>
    <w:rPr>
      <w:rFonts w:ascii="Times New Roman" w:hAnsi="Times New Roman" w:eastAsia="Times New Roman" w:cs="Times New Roman"/>
      <w:sz w:val="24"/>
      <w:szCs w:val="24"/>
      <w:lang w:val="en-MY" w:eastAsia="en-MY" w:bidi="ar-SA"/>
    </w:rPr>
  </w:style>
  <w:style w:type="paragraph" w:styleId="2">
    <w:name w:val="heading 1"/>
    <w:basedOn w:val="1"/>
    <w:next w:val="1"/>
    <w:link w:val="32"/>
    <w:qFormat/>
    <w:uiPriority w:val="1"/>
    <w:pPr>
      <w:keepNext/>
      <w:keepLines/>
      <w:spacing w:before="360" w:after="80"/>
      <w:outlineLvl w:val="0"/>
    </w:pPr>
    <w:rPr>
      <w:rFonts w:asciiTheme="majorHAnsi" w:hAnsiTheme="majorHAnsi" w:eastAsiaTheme="majorEastAsia" w:cstheme="majorBidi"/>
      <w:color w:val="2E75B6" w:themeColor="accent1" w:themeShade="BF"/>
      <w:sz w:val="40"/>
      <w:szCs w:val="40"/>
    </w:rPr>
  </w:style>
  <w:style w:type="paragraph" w:styleId="3">
    <w:name w:val="heading 2"/>
    <w:basedOn w:val="1"/>
    <w:next w:val="1"/>
    <w:link w:val="33"/>
    <w:unhideWhenUsed/>
    <w:qFormat/>
    <w:uiPriority w:val="1"/>
    <w:pPr>
      <w:keepNext/>
      <w:keepLines/>
      <w:spacing w:before="160" w:after="80"/>
      <w:outlineLvl w:val="1"/>
    </w:pPr>
    <w:rPr>
      <w:rFonts w:asciiTheme="majorHAnsi" w:hAnsiTheme="majorHAnsi" w:eastAsiaTheme="majorEastAsia" w:cstheme="majorBidi"/>
      <w:color w:val="2E75B6" w:themeColor="accent1" w:themeShade="BF"/>
      <w:sz w:val="32"/>
      <w:szCs w:val="32"/>
    </w:rPr>
  </w:style>
  <w:style w:type="paragraph" w:styleId="4">
    <w:name w:val="heading 3"/>
    <w:basedOn w:val="1"/>
    <w:next w:val="1"/>
    <w:link w:val="34"/>
    <w:semiHidden/>
    <w:unhideWhenUsed/>
    <w:qFormat/>
    <w:uiPriority w:val="9"/>
    <w:pPr>
      <w:keepNext/>
      <w:keepLines/>
      <w:spacing w:before="160" w:after="80"/>
      <w:outlineLvl w:val="2"/>
    </w:pPr>
    <w:rPr>
      <w:rFonts w:eastAsiaTheme="majorEastAsia" w:cstheme="majorBidi"/>
      <w:color w:val="2E75B6" w:themeColor="accent1" w:themeShade="BF"/>
      <w:sz w:val="28"/>
      <w:szCs w:val="28"/>
    </w:rPr>
  </w:style>
  <w:style w:type="paragraph" w:styleId="5">
    <w:name w:val="heading 4"/>
    <w:basedOn w:val="1"/>
    <w:next w:val="1"/>
    <w:link w:val="35"/>
    <w:semiHidden/>
    <w:unhideWhenUsed/>
    <w:qFormat/>
    <w:uiPriority w:val="9"/>
    <w:pPr>
      <w:keepNext/>
      <w:keepLines/>
      <w:spacing w:before="80" w:after="40"/>
      <w:outlineLvl w:val="3"/>
    </w:pPr>
    <w:rPr>
      <w:rFonts w:eastAsiaTheme="majorEastAsia" w:cstheme="majorBidi"/>
      <w:i/>
      <w:iCs/>
      <w:color w:val="2E75B6" w:themeColor="accent1" w:themeShade="BF"/>
    </w:rPr>
  </w:style>
  <w:style w:type="paragraph" w:styleId="6">
    <w:name w:val="heading 5"/>
    <w:basedOn w:val="1"/>
    <w:next w:val="1"/>
    <w:link w:val="36"/>
    <w:semiHidden/>
    <w:unhideWhenUsed/>
    <w:qFormat/>
    <w:uiPriority w:val="9"/>
    <w:pPr>
      <w:keepNext/>
      <w:keepLines/>
      <w:spacing w:before="80" w:after="40"/>
      <w:outlineLvl w:val="4"/>
    </w:pPr>
    <w:rPr>
      <w:rFonts w:eastAsiaTheme="majorEastAsia" w:cstheme="majorBidi"/>
      <w:color w:val="2E75B6" w:themeColor="accent1" w:themeShade="BF"/>
    </w:rPr>
  </w:style>
  <w:style w:type="paragraph" w:styleId="7">
    <w:name w:val="heading 6"/>
    <w:basedOn w:val="1"/>
    <w:next w:val="1"/>
    <w:link w:val="37"/>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8"/>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9"/>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0"/>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2"/>
    <w:semiHidden/>
    <w:unhideWhenUsed/>
    <w:qFormat/>
    <w:uiPriority w:val="99"/>
    <w:rPr>
      <w:rFonts w:ascii="Tahoma" w:hAnsi="Tahoma" w:cs="Tahoma"/>
      <w:sz w:val="16"/>
      <w:szCs w:val="16"/>
    </w:rPr>
  </w:style>
  <w:style w:type="paragraph" w:styleId="14">
    <w:name w:val="Body Text"/>
    <w:basedOn w:val="1"/>
    <w:link w:val="50"/>
    <w:qFormat/>
    <w:uiPriority w:val="1"/>
    <w:pPr>
      <w:widowControl w:val="0"/>
      <w:autoSpaceDE w:val="0"/>
      <w:autoSpaceDN w:val="0"/>
    </w:pPr>
    <w:rPr>
      <w:sz w:val="20"/>
      <w:szCs w:val="20"/>
      <w:lang w:val="en-US" w:eastAsia="en-US"/>
    </w:rPr>
  </w:style>
  <w:style w:type="paragraph" w:styleId="15">
    <w:name w:val="caption"/>
    <w:basedOn w:val="1"/>
    <w:next w:val="1"/>
    <w:unhideWhenUsed/>
    <w:qFormat/>
    <w:uiPriority w:val="35"/>
    <w:pPr>
      <w:spacing w:after="200"/>
    </w:pPr>
    <w:rPr>
      <w:rFonts w:asciiTheme="minorHAnsi" w:hAnsiTheme="minorHAnsi" w:eastAsiaTheme="minorHAnsi" w:cstheme="minorBidi"/>
      <w:i/>
      <w:iCs/>
      <w:color w:val="44546A" w:themeColor="text2"/>
      <w:sz w:val="18"/>
      <w:szCs w:val="18"/>
      <w:lang w:val="en-US" w:eastAsia="en-US"/>
      <w14:textFill>
        <w14:solidFill>
          <w14:schemeClr w14:val="tx2"/>
        </w14:solidFill>
      </w14:textFill>
    </w:rPr>
  </w:style>
  <w:style w:type="character" w:styleId="16">
    <w:name w:val="annotation reference"/>
    <w:basedOn w:val="11"/>
    <w:qFormat/>
    <w:uiPriority w:val="99"/>
    <w:rPr>
      <w:sz w:val="16"/>
      <w:szCs w:val="16"/>
    </w:rPr>
  </w:style>
  <w:style w:type="paragraph" w:styleId="17">
    <w:name w:val="annotation text"/>
    <w:basedOn w:val="1"/>
    <w:link w:val="65"/>
    <w:unhideWhenUsed/>
    <w:qFormat/>
    <w:uiPriority w:val="99"/>
    <w:pPr>
      <w:spacing w:after="160"/>
    </w:pPr>
    <w:rPr>
      <w:rFonts w:asciiTheme="minorHAnsi" w:hAnsiTheme="minorHAnsi" w:eastAsiaTheme="minorHAnsi" w:cstheme="minorBidi"/>
      <w:kern w:val="2"/>
      <w:sz w:val="20"/>
      <w:szCs w:val="20"/>
      <w:lang w:val="en-US" w:eastAsia="en-US"/>
    </w:rPr>
  </w:style>
  <w:style w:type="paragraph" w:styleId="18">
    <w:name w:val="annotation subject"/>
    <w:basedOn w:val="17"/>
    <w:next w:val="17"/>
    <w:link w:val="72"/>
    <w:semiHidden/>
    <w:unhideWhenUsed/>
    <w:qFormat/>
    <w:uiPriority w:val="99"/>
    <w:pPr>
      <w:spacing w:after="0"/>
    </w:pPr>
    <w:rPr>
      <w:rFonts w:ascii="Times New Roman" w:hAnsi="Times New Roman" w:eastAsia="Times New Roman" w:cs="Times New Roman"/>
      <w:b/>
      <w:bCs/>
      <w:kern w:val="0"/>
      <w:lang w:val="en-MY" w:eastAsia="en-MY"/>
    </w:rPr>
  </w:style>
  <w:style w:type="paragraph" w:styleId="19">
    <w:name w:val="Date"/>
    <w:basedOn w:val="1"/>
    <w:next w:val="1"/>
    <w:link w:val="84"/>
    <w:semiHidden/>
    <w:unhideWhenUsed/>
    <w:uiPriority w:val="99"/>
    <w:pPr>
      <w:spacing w:after="200" w:line="276" w:lineRule="auto"/>
    </w:pPr>
    <w:rPr>
      <w:rFonts w:asciiTheme="minorHAnsi" w:hAnsiTheme="minorHAnsi" w:eastAsiaTheme="minorEastAsia" w:cstheme="minorBidi"/>
      <w:sz w:val="22"/>
      <w:szCs w:val="22"/>
      <w:lang w:val="en-US" w:eastAsia="zh-CN"/>
    </w:rPr>
  </w:style>
  <w:style w:type="character" w:styleId="20">
    <w:name w:val="Emphasis"/>
    <w:qFormat/>
    <w:uiPriority w:val="20"/>
    <w:rPr>
      <w:i/>
      <w:iCs/>
    </w:rPr>
  </w:style>
  <w:style w:type="paragraph" w:styleId="21">
    <w:name w:val="footer"/>
    <w:basedOn w:val="1"/>
    <w:link w:val="54"/>
    <w:unhideWhenUsed/>
    <w:qFormat/>
    <w:uiPriority w:val="99"/>
    <w:pPr>
      <w:widowControl w:val="0"/>
      <w:tabs>
        <w:tab w:val="center" w:pos="4513"/>
        <w:tab w:val="right" w:pos="9026"/>
      </w:tabs>
      <w:autoSpaceDE w:val="0"/>
      <w:autoSpaceDN w:val="0"/>
    </w:pPr>
    <w:rPr>
      <w:sz w:val="22"/>
      <w:szCs w:val="22"/>
      <w:lang w:val="en-US" w:eastAsia="en-US"/>
    </w:rPr>
  </w:style>
  <w:style w:type="paragraph" w:styleId="22">
    <w:name w:val="header"/>
    <w:basedOn w:val="1"/>
    <w:link w:val="53"/>
    <w:unhideWhenUsed/>
    <w:qFormat/>
    <w:uiPriority w:val="99"/>
    <w:pPr>
      <w:widowControl w:val="0"/>
      <w:tabs>
        <w:tab w:val="center" w:pos="4513"/>
        <w:tab w:val="right" w:pos="9026"/>
      </w:tabs>
      <w:autoSpaceDE w:val="0"/>
      <w:autoSpaceDN w:val="0"/>
    </w:pPr>
    <w:rPr>
      <w:sz w:val="22"/>
      <w:szCs w:val="22"/>
      <w:lang w:val="en-US" w:eastAsia="en-US"/>
    </w:rPr>
  </w:style>
  <w:style w:type="character" w:styleId="23">
    <w:name w:val="HTML Cite"/>
    <w:basedOn w:val="11"/>
    <w:semiHidden/>
    <w:unhideWhenUsed/>
    <w:qFormat/>
    <w:uiPriority w:val="99"/>
    <w:rPr>
      <w:i/>
      <w:iCs/>
    </w:rPr>
  </w:style>
  <w:style w:type="character" w:styleId="24">
    <w:name w:val="HTML Code"/>
    <w:basedOn w:val="11"/>
    <w:semiHidden/>
    <w:unhideWhenUsed/>
    <w:qFormat/>
    <w:uiPriority w:val="99"/>
    <w:rPr>
      <w:rFonts w:ascii="Courier New" w:hAnsi="Courier New" w:eastAsia="Times New Roman" w:cs="Courier New"/>
      <w:sz w:val="20"/>
      <w:szCs w:val="20"/>
    </w:rPr>
  </w:style>
  <w:style w:type="character" w:styleId="25">
    <w:name w:val="Hyperlink"/>
    <w:unhideWhenUsed/>
    <w:qFormat/>
    <w:uiPriority w:val="0"/>
    <w:rPr>
      <w:color w:val="0000FF"/>
      <w:u w:val="single"/>
    </w:rPr>
  </w:style>
  <w:style w:type="paragraph" w:styleId="26">
    <w:name w:val="Normal (Web)"/>
    <w:basedOn w:val="1"/>
    <w:unhideWhenUsed/>
    <w:qFormat/>
    <w:uiPriority w:val="99"/>
    <w:pPr>
      <w:spacing w:before="100" w:beforeAutospacing="1" w:after="100" w:afterAutospacing="1"/>
    </w:pPr>
    <w:rPr>
      <w:lang w:val="en-GB" w:eastAsia="en-GB"/>
    </w:rPr>
  </w:style>
  <w:style w:type="paragraph" w:styleId="27">
    <w:name w:val="Plain Text"/>
    <w:basedOn w:val="1"/>
    <w:link w:val="83"/>
    <w:unhideWhenUsed/>
    <w:qFormat/>
    <w:uiPriority w:val="99"/>
    <w:rPr>
      <w:rFonts w:ascii="Consolas" w:hAnsi="Consolas" w:cs="Consolas" w:eastAsiaTheme="minorHAnsi"/>
      <w:sz w:val="21"/>
      <w:szCs w:val="21"/>
      <w:lang w:val="en-GB" w:eastAsia="en-US"/>
    </w:rPr>
  </w:style>
  <w:style w:type="character" w:styleId="28">
    <w:name w:val="Strong"/>
    <w:qFormat/>
    <w:uiPriority w:val="22"/>
    <w:rPr>
      <w:b/>
      <w:bCs/>
    </w:rPr>
  </w:style>
  <w:style w:type="paragraph" w:styleId="29">
    <w:name w:val="Subtitle"/>
    <w:basedOn w:val="1"/>
    <w:next w:val="1"/>
    <w:link w:val="4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30">
    <w:name w:val="Table Grid"/>
    <w:basedOn w:val="12"/>
    <w:qFormat/>
    <w:uiPriority w:val="39"/>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itle"/>
    <w:basedOn w:val="1"/>
    <w:next w:val="1"/>
    <w:link w:val="41"/>
    <w:qFormat/>
    <w:uiPriority w:val="1"/>
    <w:pPr>
      <w:spacing w:after="80"/>
      <w:contextualSpacing/>
    </w:pPr>
    <w:rPr>
      <w:rFonts w:asciiTheme="majorHAnsi" w:hAnsiTheme="majorHAnsi" w:eastAsiaTheme="majorEastAsia" w:cstheme="majorBidi"/>
      <w:spacing w:val="-10"/>
      <w:kern w:val="28"/>
      <w:sz w:val="56"/>
      <w:szCs w:val="56"/>
    </w:rPr>
  </w:style>
  <w:style w:type="character" w:customStyle="1" w:styleId="32">
    <w:name w:val="Heading 1 Char"/>
    <w:basedOn w:val="11"/>
    <w:link w:val="2"/>
    <w:qFormat/>
    <w:uiPriority w:val="1"/>
    <w:rPr>
      <w:rFonts w:asciiTheme="majorHAnsi" w:hAnsiTheme="majorHAnsi" w:eastAsiaTheme="majorEastAsia" w:cstheme="majorBidi"/>
      <w:color w:val="2E75B6" w:themeColor="accent1" w:themeShade="BF"/>
      <w:sz w:val="40"/>
      <w:szCs w:val="40"/>
    </w:rPr>
  </w:style>
  <w:style w:type="character" w:customStyle="1" w:styleId="33">
    <w:name w:val="Heading 2 Char"/>
    <w:basedOn w:val="11"/>
    <w:link w:val="3"/>
    <w:semiHidden/>
    <w:qFormat/>
    <w:uiPriority w:val="9"/>
    <w:rPr>
      <w:rFonts w:asciiTheme="majorHAnsi" w:hAnsiTheme="majorHAnsi" w:eastAsiaTheme="majorEastAsia" w:cstheme="majorBidi"/>
      <w:color w:val="2E75B6" w:themeColor="accent1" w:themeShade="BF"/>
      <w:sz w:val="32"/>
      <w:szCs w:val="32"/>
    </w:rPr>
  </w:style>
  <w:style w:type="character" w:customStyle="1" w:styleId="34">
    <w:name w:val="Heading 3 Char"/>
    <w:basedOn w:val="11"/>
    <w:link w:val="4"/>
    <w:qFormat/>
    <w:uiPriority w:val="9"/>
    <w:rPr>
      <w:rFonts w:eastAsiaTheme="majorEastAsia" w:cstheme="majorBidi"/>
      <w:color w:val="2E75B6" w:themeColor="accent1" w:themeShade="BF"/>
      <w:sz w:val="28"/>
      <w:szCs w:val="28"/>
    </w:rPr>
  </w:style>
  <w:style w:type="character" w:customStyle="1" w:styleId="35">
    <w:name w:val="Heading 4 Char"/>
    <w:basedOn w:val="11"/>
    <w:link w:val="5"/>
    <w:semiHidden/>
    <w:qFormat/>
    <w:uiPriority w:val="9"/>
    <w:rPr>
      <w:rFonts w:eastAsiaTheme="majorEastAsia" w:cstheme="majorBidi"/>
      <w:i/>
      <w:iCs/>
      <w:color w:val="2E75B6" w:themeColor="accent1" w:themeShade="BF"/>
    </w:rPr>
  </w:style>
  <w:style w:type="character" w:customStyle="1" w:styleId="36">
    <w:name w:val="Heading 5 Char"/>
    <w:basedOn w:val="11"/>
    <w:link w:val="6"/>
    <w:semiHidden/>
    <w:qFormat/>
    <w:uiPriority w:val="9"/>
    <w:rPr>
      <w:rFonts w:eastAsiaTheme="majorEastAsia" w:cstheme="majorBidi"/>
      <w:color w:val="2E75B6" w:themeColor="accent1" w:themeShade="BF"/>
    </w:rPr>
  </w:style>
  <w:style w:type="character" w:customStyle="1" w:styleId="37">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8">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0">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1">
    <w:name w:val="Title Char"/>
    <w:basedOn w:val="11"/>
    <w:link w:val="31"/>
    <w:qFormat/>
    <w:uiPriority w:val="1"/>
    <w:rPr>
      <w:rFonts w:asciiTheme="majorHAnsi" w:hAnsiTheme="majorHAnsi" w:eastAsiaTheme="majorEastAsia" w:cstheme="majorBidi"/>
      <w:spacing w:val="-10"/>
      <w:kern w:val="28"/>
      <w:sz w:val="56"/>
      <w:szCs w:val="56"/>
    </w:rPr>
  </w:style>
  <w:style w:type="character" w:customStyle="1" w:styleId="42">
    <w:name w:val="Subtitle Char"/>
    <w:basedOn w:val="1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3">
    <w:name w:val="Quote"/>
    <w:basedOn w:val="1"/>
    <w:next w:val="1"/>
    <w:link w:val="4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4">
    <w:name w:val="Quote Char"/>
    <w:basedOn w:val="11"/>
    <w:link w:val="43"/>
    <w:qFormat/>
    <w:uiPriority w:val="29"/>
    <w:rPr>
      <w:i/>
      <w:iCs/>
      <w:color w:val="404040" w:themeColor="text1" w:themeTint="BF"/>
      <w14:textFill>
        <w14:solidFill>
          <w14:schemeClr w14:val="tx1">
            <w14:lumMod w14:val="75000"/>
            <w14:lumOff w14:val="25000"/>
          </w14:schemeClr>
        </w14:solidFill>
      </w14:textFill>
    </w:rPr>
  </w:style>
  <w:style w:type="paragraph" w:styleId="45">
    <w:name w:val="List Paragraph"/>
    <w:basedOn w:val="1"/>
    <w:qFormat/>
    <w:uiPriority w:val="34"/>
    <w:pPr>
      <w:ind w:left="720"/>
      <w:contextualSpacing/>
    </w:pPr>
  </w:style>
  <w:style w:type="character" w:customStyle="1" w:styleId="46">
    <w:name w:val="Intense Emphasis"/>
    <w:basedOn w:val="11"/>
    <w:qFormat/>
    <w:uiPriority w:val="21"/>
    <w:rPr>
      <w:i/>
      <w:iCs/>
      <w:color w:val="2E75B6" w:themeColor="accent1" w:themeShade="BF"/>
    </w:rPr>
  </w:style>
  <w:style w:type="paragraph" w:styleId="47">
    <w:name w:val="Intense Quote"/>
    <w:basedOn w:val="1"/>
    <w:next w:val="1"/>
    <w:link w:val="48"/>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48">
    <w:name w:val="Intense Quote Char"/>
    <w:basedOn w:val="11"/>
    <w:link w:val="47"/>
    <w:qFormat/>
    <w:uiPriority w:val="30"/>
    <w:rPr>
      <w:i/>
      <w:iCs/>
      <w:color w:val="2E75B6" w:themeColor="accent1" w:themeShade="BF"/>
    </w:rPr>
  </w:style>
  <w:style w:type="character" w:customStyle="1" w:styleId="49">
    <w:name w:val="Intense Reference"/>
    <w:basedOn w:val="11"/>
    <w:qFormat/>
    <w:uiPriority w:val="32"/>
    <w:rPr>
      <w:b/>
      <w:bCs/>
      <w:smallCaps/>
      <w:color w:val="2E75B6" w:themeColor="accent1" w:themeShade="BF"/>
      <w:spacing w:val="5"/>
    </w:rPr>
  </w:style>
  <w:style w:type="character" w:customStyle="1" w:styleId="50">
    <w:name w:val="Body Text Char"/>
    <w:basedOn w:val="11"/>
    <w:link w:val="14"/>
    <w:qFormat/>
    <w:uiPriority w:val="1"/>
    <w:rPr>
      <w:rFonts w:ascii="Times New Roman" w:hAnsi="Times New Roman" w:eastAsia="Times New Roman" w:cs="Times New Roman"/>
      <w:sz w:val="20"/>
      <w:szCs w:val="20"/>
    </w:rPr>
  </w:style>
  <w:style w:type="paragraph" w:customStyle="1" w:styleId="51">
    <w:name w:val="Table Paragraph"/>
    <w:basedOn w:val="1"/>
    <w:qFormat/>
    <w:uiPriority w:val="1"/>
    <w:pPr>
      <w:widowControl w:val="0"/>
      <w:autoSpaceDE w:val="0"/>
      <w:autoSpaceDN w:val="0"/>
      <w:ind w:left="107"/>
    </w:pPr>
    <w:rPr>
      <w:sz w:val="22"/>
      <w:szCs w:val="22"/>
      <w:lang w:val="en-US" w:eastAsia="en-US"/>
    </w:rPr>
  </w:style>
  <w:style w:type="character" w:customStyle="1" w:styleId="52">
    <w:name w:val="Balloon Text Char"/>
    <w:basedOn w:val="11"/>
    <w:link w:val="13"/>
    <w:semiHidden/>
    <w:qFormat/>
    <w:uiPriority w:val="99"/>
    <w:rPr>
      <w:rFonts w:ascii="Tahoma" w:hAnsi="Tahoma" w:eastAsia="Times New Roman" w:cs="Tahoma"/>
      <w:sz w:val="16"/>
      <w:szCs w:val="16"/>
      <w:lang w:val="en-MY" w:eastAsia="en-MY"/>
    </w:rPr>
  </w:style>
  <w:style w:type="character" w:customStyle="1" w:styleId="53">
    <w:name w:val="Header Char"/>
    <w:basedOn w:val="11"/>
    <w:link w:val="22"/>
    <w:qFormat/>
    <w:uiPriority w:val="99"/>
    <w:rPr>
      <w:rFonts w:ascii="Times New Roman" w:hAnsi="Times New Roman" w:eastAsia="Times New Roman" w:cs="Times New Roman"/>
    </w:rPr>
  </w:style>
  <w:style w:type="character" w:customStyle="1" w:styleId="54">
    <w:name w:val="Footer Char"/>
    <w:basedOn w:val="11"/>
    <w:link w:val="21"/>
    <w:qFormat/>
    <w:uiPriority w:val="99"/>
    <w:rPr>
      <w:rFonts w:ascii="Times New Roman" w:hAnsi="Times New Roman" w:eastAsia="Times New Roman" w:cs="Times New Roman"/>
    </w:rPr>
  </w:style>
  <w:style w:type="character" w:customStyle="1" w:styleId="55">
    <w:name w:val="Subtle Emphasis"/>
    <w:qFormat/>
    <w:uiPriority w:val="19"/>
    <w:rPr>
      <w:i/>
      <w:iCs/>
      <w:color w:val="808080"/>
    </w:rPr>
  </w:style>
  <w:style w:type="paragraph" w:customStyle="1" w:styleId="56">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57">
    <w:name w:val="No Spacing"/>
    <w:link w:val="77"/>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table" w:customStyle="1" w:styleId="58">
    <w:name w:val="TableGrid"/>
    <w:qFormat/>
    <w:uiPriority w:val="0"/>
    <w:pPr>
      <w:spacing w:after="0" w:line="240" w:lineRule="auto"/>
    </w:pPr>
    <w:rPr>
      <w:rFonts w:eastAsiaTheme="minorEastAsia"/>
    </w:rPr>
    <w:tblPr>
      <w:tblCellMar>
        <w:top w:w="0" w:type="dxa"/>
        <w:left w:w="0" w:type="dxa"/>
        <w:bottom w:w="0" w:type="dxa"/>
        <w:right w:w="0" w:type="dxa"/>
      </w:tblCellMar>
    </w:tblPr>
  </w:style>
  <w:style w:type="character" w:customStyle="1" w:styleId="59">
    <w:name w:val="reference-accessdate"/>
    <w:basedOn w:val="11"/>
    <w:qFormat/>
    <w:uiPriority w:val="0"/>
  </w:style>
  <w:style w:type="character" w:customStyle="1" w:styleId="60">
    <w:name w:val="nowrap"/>
    <w:basedOn w:val="11"/>
    <w:qFormat/>
    <w:uiPriority w:val="0"/>
  </w:style>
  <w:style w:type="table" w:customStyle="1" w:styleId="61">
    <w:name w:val="Table Grid Light1"/>
    <w:basedOn w:val="12"/>
    <w:qFormat/>
    <w:uiPriority w:val="40"/>
    <w:pPr>
      <w:spacing w:after="0" w:line="240" w:lineRule="auto"/>
    </w:pPr>
    <w:rPr>
      <w:rFonts w:ascii="Calibri" w:hAnsi="Calibri" w:eastAsia="Calibri" w:cs="SimSun"/>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62">
    <w:name w:val="mord"/>
    <w:basedOn w:val="11"/>
    <w:qFormat/>
    <w:uiPriority w:val="0"/>
  </w:style>
  <w:style w:type="character" w:customStyle="1" w:styleId="63">
    <w:name w:val="mrel"/>
    <w:basedOn w:val="11"/>
    <w:qFormat/>
    <w:uiPriority w:val="0"/>
  </w:style>
  <w:style w:type="character" w:customStyle="1" w:styleId="64">
    <w:name w:val="arxivid"/>
    <w:basedOn w:val="11"/>
    <w:qFormat/>
    <w:uiPriority w:val="0"/>
  </w:style>
  <w:style w:type="character" w:customStyle="1" w:styleId="65">
    <w:name w:val="Comment Text Char"/>
    <w:basedOn w:val="11"/>
    <w:link w:val="17"/>
    <w:qFormat/>
    <w:uiPriority w:val="99"/>
    <w:rPr>
      <w:kern w:val="2"/>
      <w:sz w:val="20"/>
      <w:szCs w:val="20"/>
    </w:rPr>
  </w:style>
  <w:style w:type="paragraph" w:customStyle="1" w:styleId="66">
    <w:name w:val="Figures"/>
    <w:basedOn w:val="15"/>
    <w:next w:val="15"/>
    <w:link w:val="67"/>
    <w:autoRedefine/>
    <w:qFormat/>
    <w:uiPriority w:val="0"/>
    <w:pPr>
      <w:spacing w:after="0"/>
      <w:jc w:val="center"/>
    </w:pPr>
    <w:rPr>
      <w:rFonts w:ascii="Times New Roman" w:hAnsi="Times New Roman" w:eastAsia="SimSun" w:cs="Times New Roman"/>
      <w:b/>
      <w:bCs/>
      <w:i w:val="0"/>
      <w:iCs w:val="0"/>
      <w:color w:val="auto"/>
      <w:sz w:val="20"/>
      <w:szCs w:val="20"/>
      <w:lang w:eastAsia="zh-CN"/>
    </w:rPr>
  </w:style>
  <w:style w:type="character" w:customStyle="1" w:styleId="67">
    <w:name w:val="Figures Char"/>
    <w:basedOn w:val="11"/>
    <w:link w:val="66"/>
    <w:qFormat/>
    <w:uiPriority w:val="0"/>
    <w:rPr>
      <w:rFonts w:ascii="Times New Roman" w:hAnsi="Times New Roman" w:eastAsia="SimSun" w:cs="Times New Roman"/>
      <w:b/>
      <w:bCs/>
      <w:sz w:val="20"/>
      <w:szCs w:val="20"/>
      <w:lang w:eastAsia="zh-CN"/>
    </w:rPr>
  </w:style>
  <w:style w:type="paragraph" w:customStyle="1" w:styleId="68">
    <w:name w:val="Tables"/>
    <w:basedOn w:val="15"/>
    <w:next w:val="15"/>
    <w:autoRedefine/>
    <w:qFormat/>
    <w:uiPriority w:val="0"/>
    <w:pPr>
      <w:spacing w:after="0"/>
      <w:jc w:val="both"/>
    </w:pPr>
    <w:rPr>
      <w:rFonts w:eastAsia="SimSun" w:asciiTheme="majorBidi" w:hAnsiTheme="majorBidi" w:cstheme="majorBidi"/>
      <w:i w:val="0"/>
      <w:iCs w:val="0"/>
      <w:color w:val="auto"/>
      <w:sz w:val="24"/>
      <w:szCs w:val="24"/>
      <w:lang w:val="en-GB" w:eastAsia="zh-CN"/>
    </w:rPr>
  </w:style>
  <w:style w:type="table" w:customStyle="1" w:styleId="69">
    <w:name w:val="Plain Table 11"/>
    <w:basedOn w:val="12"/>
    <w:qFormat/>
    <w:uiPriority w:val="41"/>
    <w:pPr>
      <w:spacing w:after="0" w:line="240" w:lineRule="auto"/>
    </w:pPr>
    <w:rPr>
      <w:lang w:val="en-GB"/>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70">
    <w:name w:val="Plain Table 21"/>
    <w:basedOn w:val="12"/>
    <w:qFormat/>
    <w:uiPriority w:val="42"/>
    <w:pPr>
      <w:spacing w:after="0" w:line="240" w:lineRule="auto"/>
    </w:pPr>
    <w:rPr>
      <w:lang w:val="en-GB"/>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71">
    <w:name w:val="Unresolved Mention"/>
    <w:basedOn w:val="11"/>
    <w:semiHidden/>
    <w:unhideWhenUsed/>
    <w:qFormat/>
    <w:uiPriority w:val="99"/>
    <w:rPr>
      <w:color w:val="605E5C"/>
      <w:shd w:val="clear" w:color="auto" w:fill="E1DFDD"/>
    </w:rPr>
  </w:style>
  <w:style w:type="character" w:customStyle="1" w:styleId="72">
    <w:name w:val="Comment Subject Char"/>
    <w:basedOn w:val="65"/>
    <w:link w:val="18"/>
    <w:semiHidden/>
    <w:qFormat/>
    <w:uiPriority w:val="99"/>
    <w:rPr>
      <w:rFonts w:ascii="Times New Roman" w:hAnsi="Times New Roman" w:eastAsia="Times New Roman" w:cs="Times New Roman"/>
      <w:b/>
      <w:bCs/>
      <w:kern w:val="2"/>
      <w:sz w:val="20"/>
      <w:szCs w:val="20"/>
      <w:lang w:val="en-MY" w:eastAsia="en-MY"/>
    </w:rPr>
  </w:style>
  <w:style w:type="paragraph" w:customStyle="1" w:styleId="73">
    <w:name w:val="Revision"/>
    <w:hidden/>
    <w:semiHidden/>
    <w:qFormat/>
    <w:uiPriority w:val="99"/>
    <w:pPr>
      <w:spacing w:after="0" w:line="240" w:lineRule="auto"/>
    </w:pPr>
    <w:rPr>
      <w:rFonts w:ascii="Times New Roman" w:hAnsi="Times New Roman" w:eastAsia="Times New Roman" w:cs="Times New Roman"/>
      <w:sz w:val="24"/>
      <w:szCs w:val="24"/>
      <w:lang w:val="en-MY" w:eastAsia="en-MY" w:bidi="ar-SA"/>
    </w:rPr>
  </w:style>
  <w:style w:type="character" w:customStyle="1" w:styleId="74">
    <w:name w:val="label"/>
    <w:basedOn w:val="11"/>
    <w:qFormat/>
    <w:uiPriority w:val="0"/>
  </w:style>
  <w:style w:type="paragraph" w:customStyle="1" w:styleId="75">
    <w:name w:val="MTDisplayEquation"/>
    <w:basedOn w:val="1"/>
    <w:next w:val="1"/>
    <w:link w:val="76"/>
    <w:qFormat/>
    <w:uiPriority w:val="0"/>
    <w:pPr>
      <w:tabs>
        <w:tab w:val="center" w:pos="4680"/>
        <w:tab w:val="right" w:pos="9360"/>
      </w:tabs>
      <w:spacing w:after="160" w:line="259" w:lineRule="auto"/>
    </w:pPr>
    <w:rPr>
      <w:rFonts w:eastAsiaTheme="minorHAnsi"/>
      <w:b/>
      <w:lang w:val="en-US" w:eastAsia="en-US"/>
    </w:rPr>
  </w:style>
  <w:style w:type="character" w:customStyle="1" w:styleId="76">
    <w:name w:val="MTDisplayEquation Char"/>
    <w:basedOn w:val="11"/>
    <w:link w:val="75"/>
    <w:qFormat/>
    <w:uiPriority w:val="0"/>
    <w:rPr>
      <w:rFonts w:ascii="Times New Roman" w:hAnsi="Times New Roman" w:cs="Times New Roman"/>
      <w:b/>
      <w:sz w:val="24"/>
      <w:szCs w:val="24"/>
    </w:rPr>
  </w:style>
  <w:style w:type="character" w:customStyle="1" w:styleId="77">
    <w:name w:val="No Spacing Char"/>
    <w:basedOn w:val="11"/>
    <w:link w:val="57"/>
    <w:qFormat/>
    <w:uiPriority w:val="1"/>
    <w:rPr>
      <w:rFonts w:ascii="Times New Roman" w:hAnsi="Times New Roman" w:eastAsia="Times New Roman" w:cs="Times New Roman"/>
    </w:rPr>
  </w:style>
  <w:style w:type="character" w:customStyle="1" w:styleId="78">
    <w:name w:val="c-pjlv"/>
    <w:basedOn w:val="11"/>
    <w:qFormat/>
    <w:uiPriority w:val="0"/>
  </w:style>
  <w:style w:type="table" w:customStyle="1" w:styleId="79">
    <w:name w:val="List Table 1 Light - Accent 61"/>
    <w:basedOn w:val="12"/>
    <w:qFormat/>
    <w:uiPriority w:val="46"/>
    <w:pPr>
      <w:spacing w:after="0" w:line="240" w:lineRule="auto"/>
    </w:pPr>
    <w:rPr>
      <w:rFonts w:ascii="Calibri" w:hAnsi="Calibri" w:eastAsia="Calibri" w:cs="SimSun"/>
    </w:rPr>
    <w:tblStylePr w:type="firstRow">
      <w:rPr>
        <w:b/>
        <w:bCs/>
      </w:rPr>
      <w:tcPr>
        <w:tcBorders>
          <w:bottom w:val="single" w:color="A8D08D" w:sz="4" w:space="0"/>
        </w:tcBorders>
      </w:tcPr>
    </w:tblStylePr>
    <w:tblStylePr w:type="lastRow">
      <w:rPr>
        <w:b/>
        <w:bCs/>
      </w:rPr>
      <w:tcPr>
        <w:tcBorders>
          <w:top w:val="single" w:color="A8D08D" w:sz="4" w:space="0"/>
        </w:tcBorders>
      </w:tcPr>
    </w:tblStylePr>
    <w:tblStylePr w:type="firstCol">
      <w:rPr>
        <w:b/>
        <w:bCs/>
      </w:rPr>
    </w:tblStylePr>
    <w:tblStylePr w:type="lastCol">
      <w:rPr>
        <w:b/>
        <w:bCs/>
      </w:rPr>
    </w:tblStylePr>
    <w:tblStylePr w:type="band1Vert">
      <w:tcPr>
        <w:shd w:val="clear" w:color="auto" w:fill="E2EFD9"/>
      </w:tcPr>
    </w:tblStylePr>
    <w:tblStylePr w:type="band1Horz">
      <w:tcPr>
        <w:shd w:val="clear" w:color="auto" w:fill="E2EFD9"/>
      </w:tcPr>
    </w:tblStylePr>
  </w:style>
  <w:style w:type="character" w:customStyle="1" w:styleId="80">
    <w:name w:val="text"/>
    <w:basedOn w:val="11"/>
    <w:qFormat/>
    <w:uiPriority w:val="0"/>
  </w:style>
  <w:style w:type="paragraph" w:customStyle="1" w:styleId="81">
    <w:name w:val="whitespace-pre-wrap"/>
    <w:basedOn w:val="1"/>
    <w:qFormat/>
    <w:uiPriority w:val="0"/>
    <w:pPr>
      <w:spacing w:before="100" w:beforeAutospacing="1" w:after="100" w:afterAutospacing="1"/>
    </w:pPr>
    <w:rPr>
      <w:lang w:val="en-US" w:eastAsia="en-US"/>
    </w:rPr>
  </w:style>
  <w:style w:type="character" w:customStyle="1" w:styleId="82">
    <w:name w:val="katex"/>
    <w:basedOn w:val="11"/>
    <w:qFormat/>
    <w:uiPriority w:val="0"/>
  </w:style>
  <w:style w:type="character" w:customStyle="1" w:styleId="83">
    <w:name w:val="Plain Text Char"/>
    <w:basedOn w:val="11"/>
    <w:link w:val="27"/>
    <w:uiPriority w:val="99"/>
    <w:rPr>
      <w:rFonts w:ascii="Consolas" w:hAnsi="Consolas" w:cs="Consolas"/>
      <w:sz w:val="21"/>
      <w:szCs w:val="21"/>
      <w:lang w:val="en-GB"/>
    </w:rPr>
  </w:style>
  <w:style w:type="character" w:customStyle="1" w:styleId="84">
    <w:name w:val="Date Char"/>
    <w:basedOn w:val="11"/>
    <w:link w:val="19"/>
    <w:semiHidden/>
    <w:uiPriority w:val="99"/>
    <w:rPr>
      <w:rFonts w:eastAsiaTheme="minorEastAsia"/>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emf"/><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475DBE-1AAC-4610-823B-F917E564F555}">
  <ds:schemaRefs/>
</ds:datastoreItem>
</file>

<file path=docProps/app.xml><?xml version="1.0" encoding="utf-8"?>
<Properties xmlns="http://schemas.openxmlformats.org/officeDocument/2006/extended-properties" xmlns:vt="http://schemas.openxmlformats.org/officeDocument/2006/docPropsVTypes">
  <Template>Normal</Template>
  <Pages>31</Pages>
  <Words>826</Words>
  <Characters>5004</Characters>
  <Lines>942</Lines>
  <Paragraphs>265</Paragraphs>
  <TotalTime>1262</TotalTime>
  <ScaleCrop>false</ScaleCrop>
  <LinksUpToDate>false</LinksUpToDate>
  <CharactersWithSpaces>5871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2025-06-29T12:08:00Z</dcterms:created>
  <dc:creator>HP</dc:creator>
  <cp:lastModifiedBy>hp</cp:lastModifiedBy>
  <cp:lastPrinted>2025-08-28T16:06:00Z</cp:lastPrinted>
  <dcterms:modified xsi:type="dcterms:W3CDTF">2026-06-23T22:39:12Z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00edb1cd-c56b-4f9a-b6a8-ed6782531a01</vt:lpwstr>
  </property>
  <property fmtid="{D5CDD505-2E9C-101B-9397-08002B2CF9AE}" pid="3" name="KSOProductBuildVer">
    <vt:lpwstr>1033-12.1.0.26880</vt:lpwstr>
  </property>
  <property fmtid="{D5CDD505-2E9C-101B-9397-08002B2CF9AE}" pid="4" name="ICV">
    <vt:lpwstr>1F14C6F6A251427196E2B2B6E79C9F00_13</vt:lpwstr>
  </property>
</Properties>
</file>